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16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A5C3" w14:textId="77777777" w:rsidR="002C6952" w:rsidRPr="006C4321" w:rsidRDefault="004738FE">
      <w:pPr>
        <w:spacing w:after="40"/>
        <w:rPr>
          <w:sz w:val="20"/>
          <w:szCs w:val="20"/>
        </w:rPr>
      </w:pPr>
      <w:r w:rsidRPr="006C4321">
        <w:rPr>
          <w:b/>
          <w:color w:val="818181"/>
          <w:sz w:val="16"/>
          <w:szCs w:val="20"/>
        </w:rPr>
        <w:t>EINBLICK</w:t>
      </w:r>
    </w:p>
    <w:p w14:paraId="119DF825" w14:textId="77777777" w:rsidR="002C6952" w:rsidRPr="006C4321" w:rsidRDefault="004738FE">
      <w:pPr>
        <w:pStyle w:val="Heading1"/>
        <w:spacing w:after="40"/>
        <w:rPr>
          <w:sz w:val="32"/>
          <w:szCs w:val="24"/>
        </w:rPr>
      </w:pPr>
      <w:r w:rsidRPr="006C4321">
        <w:rPr>
          <w:sz w:val="32"/>
          <w:szCs w:val="24"/>
        </w:rPr>
        <w:t>Project Management Office Setup Checklist</w:t>
      </w:r>
    </w:p>
    <w:p w14:paraId="22133355" w14:textId="77777777" w:rsidR="002C6952" w:rsidRPr="006C4321" w:rsidRDefault="004738FE">
      <w:pPr>
        <w:spacing w:after="240"/>
        <w:rPr>
          <w:sz w:val="20"/>
          <w:szCs w:val="20"/>
          <w:lang w:val="de-DE"/>
        </w:rPr>
      </w:pPr>
      <w:r w:rsidRPr="006C4321">
        <w:rPr>
          <w:i/>
          <w:color w:val="818181"/>
          <w:sz w:val="20"/>
          <w:szCs w:val="20"/>
          <w:lang w:val="de-DE"/>
        </w:rPr>
        <w:t>Minimum Viable Project Management Office (Tag 1-10) und Stabilisierung (Woche 2-8) - als direkt nutzbare Checkliste.</w:t>
      </w:r>
    </w:p>
    <w:p w14:paraId="55A4FED9" w14:textId="77777777" w:rsidR="002C6952" w:rsidRPr="006C4321" w:rsidRDefault="004738FE">
      <w:pPr>
        <w:pStyle w:val="Heading2"/>
        <w:rPr>
          <w:sz w:val="24"/>
          <w:szCs w:val="24"/>
          <w:lang w:val="de-DE"/>
        </w:rPr>
      </w:pPr>
      <w:r w:rsidRPr="006C4321">
        <w:rPr>
          <w:sz w:val="24"/>
          <w:szCs w:val="24"/>
          <w:lang w:val="de-DE"/>
        </w:rPr>
        <w:t>Prinzip</w:t>
      </w:r>
    </w:p>
    <w:p w14:paraId="35D1A2CC" w14:textId="77777777" w:rsidR="002C6952" w:rsidRPr="006C4321" w:rsidRDefault="004738FE">
      <w:pPr>
        <w:rPr>
          <w:sz w:val="20"/>
          <w:szCs w:val="20"/>
          <w:lang w:val="de-DE"/>
        </w:rPr>
      </w:pPr>
      <w:r w:rsidRPr="006C4321">
        <w:rPr>
          <w:sz w:val="20"/>
          <w:szCs w:val="20"/>
          <w:lang w:val="de-DE"/>
        </w:rPr>
        <w:t xml:space="preserve">Ein Project Management Office ist kein Reporting-Overhead, sondern ein Entscheidungs- und </w:t>
      </w:r>
      <w:proofErr w:type="spellStart"/>
      <w:r w:rsidRPr="006C4321">
        <w:rPr>
          <w:sz w:val="20"/>
          <w:szCs w:val="20"/>
          <w:lang w:val="de-DE"/>
        </w:rPr>
        <w:t>Delivery</w:t>
      </w:r>
      <w:proofErr w:type="spellEnd"/>
      <w:r w:rsidRPr="006C4321">
        <w:rPr>
          <w:sz w:val="20"/>
          <w:szCs w:val="20"/>
          <w:lang w:val="de-DE"/>
        </w:rPr>
        <w:t>-System. Jede Aktivität muss (a) Transparenz erhöhen oder (b) Entscheidungen beschleunigen oder (c) Risiken aktiv managen.</w:t>
      </w:r>
    </w:p>
    <w:p w14:paraId="465F4F64" w14:textId="77777777" w:rsidR="002C6952" w:rsidRPr="006C4321" w:rsidRDefault="004738FE">
      <w:pPr>
        <w:pStyle w:val="Heading2"/>
        <w:rPr>
          <w:sz w:val="24"/>
          <w:szCs w:val="24"/>
        </w:rPr>
      </w:pPr>
      <w:r w:rsidRPr="006C4321">
        <w:rPr>
          <w:sz w:val="24"/>
          <w:szCs w:val="24"/>
        </w:rPr>
        <w:t>A. Tag 1-10: Minimum Viable Project Management Office</w:t>
      </w:r>
    </w:p>
    <w:tbl>
      <w:tblPr>
        <w:tblW w:w="10458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907"/>
        <w:gridCol w:w="2105"/>
        <w:gridCol w:w="2070"/>
      </w:tblGrid>
      <w:tr w:rsidR="002C6952" w:rsidRPr="006C4321" w14:paraId="036BE071" w14:textId="77777777" w:rsidTr="006C4321">
        <w:tc>
          <w:tcPr>
            <w:tcW w:w="675" w:type="dxa"/>
            <w:shd w:val="clear" w:color="auto" w:fill="AECDFF"/>
            <w:vAlign w:val="center"/>
          </w:tcPr>
          <w:p w14:paraId="51757CA7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Tag</w:t>
            </w:r>
          </w:p>
        </w:tc>
        <w:tc>
          <w:tcPr>
            <w:tcW w:w="1701" w:type="dxa"/>
            <w:shd w:val="clear" w:color="auto" w:fill="AECDFF"/>
            <w:vAlign w:val="center"/>
          </w:tcPr>
          <w:p w14:paraId="233BFDE4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Setup-Item</w:t>
            </w:r>
          </w:p>
        </w:tc>
        <w:tc>
          <w:tcPr>
            <w:tcW w:w="3907" w:type="dxa"/>
            <w:shd w:val="clear" w:color="auto" w:fill="AECDFF"/>
            <w:vAlign w:val="center"/>
          </w:tcPr>
          <w:p w14:paraId="4F87EAE5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Definition of Done</w:t>
            </w:r>
          </w:p>
        </w:tc>
        <w:tc>
          <w:tcPr>
            <w:tcW w:w="2105" w:type="dxa"/>
            <w:shd w:val="clear" w:color="auto" w:fill="AECDFF"/>
            <w:vAlign w:val="center"/>
          </w:tcPr>
          <w:p w14:paraId="2C4B2F94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Owner</w:t>
            </w:r>
          </w:p>
        </w:tc>
        <w:tc>
          <w:tcPr>
            <w:tcW w:w="2070" w:type="dxa"/>
            <w:shd w:val="clear" w:color="auto" w:fill="AECDFF"/>
            <w:vAlign w:val="center"/>
          </w:tcPr>
          <w:p w14:paraId="5B6D192E" w14:textId="77777777" w:rsidR="002C6952" w:rsidRPr="006C4321" w:rsidRDefault="004738FE">
            <w:pPr>
              <w:rPr>
                <w:sz w:val="20"/>
                <w:szCs w:val="20"/>
              </w:rPr>
            </w:pPr>
            <w:proofErr w:type="spellStart"/>
            <w:r w:rsidRPr="006C4321">
              <w:rPr>
                <w:b/>
                <w:color w:val="000042"/>
                <w:sz w:val="18"/>
                <w:szCs w:val="20"/>
              </w:rPr>
              <w:t>Artefakt</w:t>
            </w:r>
            <w:proofErr w:type="spellEnd"/>
            <w:r w:rsidRPr="006C4321">
              <w:rPr>
                <w:b/>
                <w:color w:val="000042"/>
                <w:sz w:val="18"/>
                <w:szCs w:val="20"/>
              </w:rPr>
              <w:t>/Link</w:t>
            </w:r>
          </w:p>
        </w:tc>
      </w:tr>
      <w:tr w:rsidR="002C6952" w:rsidRPr="006C4321" w14:paraId="136F5B96" w14:textId="77777777" w:rsidTr="006C4321">
        <w:tc>
          <w:tcPr>
            <w:tcW w:w="675" w:type="dxa"/>
          </w:tcPr>
          <w:p w14:paraId="5C8E03A6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1</w:t>
            </w:r>
          </w:p>
        </w:tc>
        <w:tc>
          <w:tcPr>
            <w:tcW w:w="1701" w:type="dxa"/>
          </w:tcPr>
          <w:p w14:paraId="4F2EE4C6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Governance &amp; Decision Rights</w:t>
            </w:r>
          </w:p>
        </w:tc>
        <w:tc>
          <w:tcPr>
            <w:tcW w:w="3907" w:type="dxa"/>
          </w:tcPr>
          <w:p w14:paraId="550B683B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Steering Committee/Owner benannt; Entscheidungswege dokumentiert; Kalender-</w:t>
            </w:r>
            <w:proofErr w:type="spellStart"/>
            <w:r w:rsidRPr="006C4321">
              <w:rPr>
                <w:sz w:val="18"/>
                <w:szCs w:val="20"/>
                <w:lang w:val="de-DE"/>
              </w:rPr>
              <w:t>Invite</w:t>
            </w:r>
            <w:proofErr w:type="spellEnd"/>
            <w:r w:rsidRPr="006C4321">
              <w:rPr>
                <w:sz w:val="18"/>
                <w:szCs w:val="20"/>
                <w:lang w:val="de-DE"/>
              </w:rPr>
              <w:t xml:space="preserve"> gesetzt</w:t>
            </w:r>
          </w:p>
        </w:tc>
        <w:tc>
          <w:tcPr>
            <w:tcW w:w="2105" w:type="dxa"/>
          </w:tcPr>
          <w:p w14:paraId="31AA7348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Program Lead/Project Management Office</w:t>
            </w:r>
          </w:p>
        </w:tc>
        <w:tc>
          <w:tcPr>
            <w:tcW w:w="2070" w:type="dxa"/>
          </w:tcPr>
          <w:p w14:paraId="73154E72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RACI/Organigramm</w:t>
            </w:r>
          </w:p>
        </w:tc>
      </w:tr>
      <w:tr w:rsidR="002C6952" w:rsidRPr="006C4321" w14:paraId="4F488C87" w14:textId="77777777" w:rsidTr="006C4321">
        <w:tc>
          <w:tcPr>
            <w:tcW w:w="675" w:type="dxa"/>
          </w:tcPr>
          <w:p w14:paraId="321939D2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1</w:t>
            </w:r>
          </w:p>
        </w:tc>
        <w:tc>
          <w:tcPr>
            <w:tcW w:w="1701" w:type="dxa"/>
          </w:tcPr>
          <w:p w14:paraId="0CCC0D33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Risiko- und Issue-Log live</w:t>
            </w:r>
          </w:p>
        </w:tc>
        <w:tc>
          <w:tcPr>
            <w:tcW w:w="3907" w:type="dxa"/>
          </w:tcPr>
          <w:p w14:paraId="0B232430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 xml:space="preserve">Risiko-/Issue-Register Template </w:t>
            </w:r>
            <w:proofErr w:type="spellStart"/>
            <w:r w:rsidRPr="006C4321">
              <w:rPr>
                <w:sz w:val="18"/>
                <w:szCs w:val="20"/>
              </w:rPr>
              <w:t>erstellt</w:t>
            </w:r>
            <w:proofErr w:type="spellEnd"/>
            <w:r w:rsidRPr="006C4321">
              <w:rPr>
                <w:sz w:val="18"/>
                <w:szCs w:val="20"/>
              </w:rPr>
              <w:t>; Owner je Item; Weekly Review-Slot fix</w:t>
            </w:r>
          </w:p>
        </w:tc>
        <w:tc>
          <w:tcPr>
            <w:tcW w:w="2105" w:type="dxa"/>
          </w:tcPr>
          <w:p w14:paraId="5E3003ED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Project Management Office</w:t>
            </w:r>
          </w:p>
        </w:tc>
        <w:tc>
          <w:tcPr>
            <w:tcW w:w="2070" w:type="dxa"/>
          </w:tcPr>
          <w:p w14:paraId="731387AA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Risiko- und Issue-Log</w:t>
            </w:r>
          </w:p>
        </w:tc>
      </w:tr>
      <w:tr w:rsidR="002C6952" w:rsidRPr="006C4321" w14:paraId="00EDB3E0" w14:textId="77777777" w:rsidTr="006C4321">
        <w:tc>
          <w:tcPr>
            <w:tcW w:w="675" w:type="dxa"/>
          </w:tcPr>
          <w:p w14:paraId="2D43F5FB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2</w:t>
            </w:r>
          </w:p>
        </w:tc>
        <w:tc>
          <w:tcPr>
            <w:tcW w:w="1701" w:type="dxa"/>
          </w:tcPr>
          <w:p w14:paraId="234056FB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 xml:space="preserve">Workstream </w:t>
            </w:r>
            <w:proofErr w:type="spellStart"/>
            <w:r w:rsidRPr="006C4321">
              <w:rPr>
                <w:sz w:val="18"/>
                <w:szCs w:val="20"/>
              </w:rPr>
              <w:t>Struktur</w:t>
            </w:r>
            <w:proofErr w:type="spellEnd"/>
          </w:p>
        </w:tc>
        <w:tc>
          <w:tcPr>
            <w:tcW w:w="3907" w:type="dxa"/>
          </w:tcPr>
          <w:p w14:paraId="7655A8E2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proofErr w:type="spellStart"/>
            <w:r w:rsidRPr="006C4321">
              <w:rPr>
                <w:sz w:val="18"/>
                <w:szCs w:val="20"/>
                <w:lang w:val="de-DE"/>
              </w:rPr>
              <w:t>Workstreams</w:t>
            </w:r>
            <w:proofErr w:type="spellEnd"/>
            <w:r w:rsidRPr="006C4321">
              <w:rPr>
                <w:sz w:val="18"/>
                <w:szCs w:val="20"/>
                <w:lang w:val="de-DE"/>
              </w:rPr>
              <w:t xml:space="preserve"> benannt; Leads bestätigt; Schnittstellen geklärt</w:t>
            </w:r>
          </w:p>
        </w:tc>
        <w:tc>
          <w:tcPr>
            <w:tcW w:w="2105" w:type="dxa"/>
          </w:tcPr>
          <w:p w14:paraId="4F3CCDCD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Program Lead</w:t>
            </w:r>
          </w:p>
        </w:tc>
        <w:tc>
          <w:tcPr>
            <w:tcW w:w="2070" w:type="dxa"/>
          </w:tcPr>
          <w:p w14:paraId="6AB01A4C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Workstream Charter</w:t>
            </w:r>
          </w:p>
        </w:tc>
      </w:tr>
      <w:tr w:rsidR="002C6952" w:rsidRPr="006C4321" w14:paraId="02B9D2C4" w14:textId="77777777" w:rsidTr="006C4321">
        <w:tc>
          <w:tcPr>
            <w:tcW w:w="675" w:type="dxa"/>
          </w:tcPr>
          <w:p w14:paraId="3A1A38D2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2</w:t>
            </w:r>
          </w:p>
        </w:tc>
        <w:tc>
          <w:tcPr>
            <w:tcW w:w="1701" w:type="dxa"/>
          </w:tcPr>
          <w:p w14:paraId="1B029CB8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Baseline Plan v0</w:t>
            </w:r>
          </w:p>
        </w:tc>
        <w:tc>
          <w:tcPr>
            <w:tcW w:w="3907" w:type="dxa"/>
          </w:tcPr>
          <w:p w14:paraId="4E430846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Top-Meilensteine; kritischer Pfad; Abhängigkeiten sichtbar</w:t>
            </w:r>
          </w:p>
        </w:tc>
        <w:tc>
          <w:tcPr>
            <w:tcW w:w="2105" w:type="dxa"/>
          </w:tcPr>
          <w:p w14:paraId="7CA13F91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Project Management Office+Workstream-Leads</w:t>
            </w:r>
          </w:p>
        </w:tc>
        <w:tc>
          <w:tcPr>
            <w:tcW w:w="2070" w:type="dxa"/>
          </w:tcPr>
          <w:p w14:paraId="51108B38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Plan</w:t>
            </w:r>
          </w:p>
        </w:tc>
      </w:tr>
      <w:tr w:rsidR="002C6952" w:rsidRPr="006C4321" w14:paraId="02F40C93" w14:textId="77777777" w:rsidTr="006C4321">
        <w:tc>
          <w:tcPr>
            <w:tcW w:w="675" w:type="dxa"/>
          </w:tcPr>
          <w:p w14:paraId="2DD76080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3</w:t>
            </w:r>
          </w:p>
        </w:tc>
        <w:tc>
          <w:tcPr>
            <w:tcW w:w="1701" w:type="dxa"/>
          </w:tcPr>
          <w:p w14:paraId="3A9DEA4A" w14:textId="77777777" w:rsidR="002C6952" w:rsidRPr="006C4321" w:rsidRDefault="004738FE">
            <w:pPr>
              <w:rPr>
                <w:sz w:val="20"/>
                <w:szCs w:val="20"/>
              </w:rPr>
            </w:pPr>
            <w:proofErr w:type="spellStart"/>
            <w:r w:rsidRPr="006C4321">
              <w:rPr>
                <w:sz w:val="18"/>
                <w:szCs w:val="20"/>
              </w:rPr>
              <w:t>Statusmodell</w:t>
            </w:r>
            <w:proofErr w:type="spellEnd"/>
            <w:r w:rsidRPr="006C4321">
              <w:rPr>
                <w:sz w:val="18"/>
                <w:szCs w:val="20"/>
              </w:rPr>
              <w:t xml:space="preserve"> (</w:t>
            </w:r>
            <w:proofErr w:type="spellStart"/>
            <w:r w:rsidRPr="006C4321">
              <w:rPr>
                <w:sz w:val="18"/>
                <w:szCs w:val="20"/>
              </w:rPr>
              <w:t>Ampelstatus</w:t>
            </w:r>
            <w:proofErr w:type="spellEnd"/>
            <w:r w:rsidRPr="006C4321">
              <w:rPr>
                <w:sz w:val="18"/>
                <w:szCs w:val="20"/>
              </w:rPr>
              <w:t>)</w:t>
            </w:r>
          </w:p>
        </w:tc>
        <w:tc>
          <w:tcPr>
            <w:tcW w:w="3907" w:type="dxa"/>
          </w:tcPr>
          <w:p w14:paraId="5731F6EB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 xml:space="preserve">Ampelstatus-Definitionen dokumentiert; </w:t>
            </w:r>
            <w:proofErr w:type="spellStart"/>
            <w:r w:rsidRPr="006C4321">
              <w:rPr>
                <w:sz w:val="18"/>
                <w:szCs w:val="20"/>
                <w:lang w:val="de-DE"/>
              </w:rPr>
              <w:t>Escalation</w:t>
            </w:r>
            <w:proofErr w:type="spellEnd"/>
            <w:r w:rsidRPr="006C4321">
              <w:rPr>
                <w:sz w:val="18"/>
                <w:szCs w:val="20"/>
                <w:lang w:val="de-DE"/>
              </w:rPr>
              <w:t xml:space="preserve"> Trigger festgelegt</w:t>
            </w:r>
          </w:p>
        </w:tc>
        <w:tc>
          <w:tcPr>
            <w:tcW w:w="2105" w:type="dxa"/>
          </w:tcPr>
          <w:p w14:paraId="32DA6DA3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Project Management Office</w:t>
            </w:r>
          </w:p>
        </w:tc>
        <w:tc>
          <w:tcPr>
            <w:tcW w:w="2070" w:type="dxa"/>
          </w:tcPr>
          <w:p w14:paraId="00ACDF02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Dashboard</w:t>
            </w:r>
          </w:p>
        </w:tc>
      </w:tr>
      <w:tr w:rsidR="002C6952" w:rsidRPr="006C4321" w14:paraId="31FA88A0" w14:textId="77777777" w:rsidTr="006C4321">
        <w:tc>
          <w:tcPr>
            <w:tcW w:w="675" w:type="dxa"/>
          </w:tcPr>
          <w:p w14:paraId="67930365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3</w:t>
            </w:r>
          </w:p>
        </w:tc>
        <w:tc>
          <w:tcPr>
            <w:tcW w:w="1701" w:type="dxa"/>
          </w:tcPr>
          <w:p w14:paraId="0DF6348A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Reporting Cadence</w:t>
            </w:r>
          </w:p>
        </w:tc>
        <w:tc>
          <w:tcPr>
            <w:tcW w:w="3907" w:type="dxa"/>
          </w:tcPr>
          <w:p w14:paraId="394A3A25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Weekly Status, Workstream-Sync, Steering Committee Rhythmus fix</w:t>
            </w:r>
          </w:p>
        </w:tc>
        <w:tc>
          <w:tcPr>
            <w:tcW w:w="2105" w:type="dxa"/>
          </w:tcPr>
          <w:p w14:paraId="6FA57721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Project Management Office</w:t>
            </w:r>
          </w:p>
        </w:tc>
        <w:tc>
          <w:tcPr>
            <w:tcW w:w="2070" w:type="dxa"/>
          </w:tcPr>
          <w:p w14:paraId="39D81716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Cadence</w:t>
            </w:r>
          </w:p>
        </w:tc>
      </w:tr>
      <w:tr w:rsidR="002C6952" w:rsidRPr="006C4321" w14:paraId="445A0D50" w14:textId="77777777" w:rsidTr="006C4321">
        <w:tc>
          <w:tcPr>
            <w:tcW w:w="675" w:type="dxa"/>
          </w:tcPr>
          <w:p w14:paraId="73582F99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4</w:t>
            </w:r>
          </w:p>
        </w:tc>
        <w:tc>
          <w:tcPr>
            <w:tcW w:w="1701" w:type="dxa"/>
          </w:tcPr>
          <w:p w14:paraId="1926F9BE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Issue-to-Decision Flow</w:t>
            </w:r>
          </w:p>
        </w:tc>
        <w:tc>
          <w:tcPr>
            <w:tcW w:w="3907" w:type="dxa"/>
          </w:tcPr>
          <w:p w14:paraId="0747BCED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Issue-&gt;Decision Paper-&gt;Decision Log Prozess definiert</w:t>
            </w:r>
          </w:p>
        </w:tc>
        <w:tc>
          <w:tcPr>
            <w:tcW w:w="2105" w:type="dxa"/>
          </w:tcPr>
          <w:p w14:paraId="66278DD6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Project Management Office</w:t>
            </w:r>
          </w:p>
        </w:tc>
        <w:tc>
          <w:tcPr>
            <w:tcW w:w="2070" w:type="dxa"/>
          </w:tcPr>
          <w:p w14:paraId="16793E5C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Decision Paper/Log</w:t>
            </w:r>
          </w:p>
        </w:tc>
      </w:tr>
      <w:tr w:rsidR="002C6952" w:rsidRPr="006C4321" w14:paraId="0703CFF1" w14:textId="77777777" w:rsidTr="006C4321">
        <w:tc>
          <w:tcPr>
            <w:tcW w:w="675" w:type="dxa"/>
          </w:tcPr>
          <w:p w14:paraId="4DBD9140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5</w:t>
            </w:r>
          </w:p>
        </w:tc>
        <w:tc>
          <w:tcPr>
            <w:tcW w:w="1701" w:type="dxa"/>
          </w:tcPr>
          <w:p w14:paraId="7C7A2042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Action Management</w:t>
            </w:r>
          </w:p>
        </w:tc>
        <w:tc>
          <w:tcPr>
            <w:tcW w:w="3907" w:type="dxa"/>
          </w:tcPr>
          <w:p w14:paraId="74348646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Action Log mit Owner/Due; Follow-up Regel (Overdue)</w:t>
            </w:r>
          </w:p>
        </w:tc>
        <w:tc>
          <w:tcPr>
            <w:tcW w:w="2105" w:type="dxa"/>
          </w:tcPr>
          <w:p w14:paraId="1E1026D7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Project Management Office</w:t>
            </w:r>
          </w:p>
        </w:tc>
        <w:tc>
          <w:tcPr>
            <w:tcW w:w="2070" w:type="dxa"/>
          </w:tcPr>
          <w:p w14:paraId="6CAEBFDF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Action Log</w:t>
            </w:r>
          </w:p>
        </w:tc>
      </w:tr>
      <w:tr w:rsidR="002C6952" w:rsidRPr="006C4321" w14:paraId="77420EDF" w14:textId="77777777" w:rsidTr="006C4321">
        <w:tc>
          <w:tcPr>
            <w:tcW w:w="675" w:type="dxa"/>
          </w:tcPr>
          <w:p w14:paraId="384D02D4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7</w:t>
            </w:r>
          </w:p>
        </w:tc>
        <w:tc>
          <w:tcPr>
            <w:tcW w:w="1701" w:type="dxa"/>
          </w:tcPr>
          <w:p w14:paraId="7D725448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Tooling &amp; Single Source of Truth</w:t>
            </w:r>
          </w:p>
        </w:tc>
        <w:tc>
          <w:tcPr>
            <w:tcW w:w="3907" w:type="dxa"/>
          </w:tcPr>
          <w:p w14:paraId="2618431F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Ablage/Links/Versionierung; Zugriffsrechte geklärt</w:t>
            </w:r>
          </w:p>
        </w:tc>
        <w:tc>
          <w:tcPr>
            <w:tcW w:w="2105" w:type="dxa"/>
          </w:tcPr>
          <w:p w14:paraId="0BD3C492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Project Management Office+IT</w:t>
            </w:r>
          </w:p>
        </w:tc>
        <w:tc>
          <w:tcPr>
            <w:tcW w:w="2070" w:type="dxa"/>
          </w:tcPr>
          <w:p w14:paraId="5628D361" w14:textId="67CDD501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SharePoint/</w:t>
            </w:r>
            <w:r w:rsidR="003835BA">
              <w:rPr>
                <w:sz w:val="18"/>
                <w:szCs w:val="20"/>
              </w:rPr>
              <w:t xml:space="preserve"> </w:t>
            </w:r>
            <w:r w:rsidRPr="006C4321">
              <w:rPr>
                <w:sz w:val="18"/>
                <w:szCs w:val="20"/>
              </w:rPr>
              <w:t>Confluence</w:t>
            </w:r>
          </w:p>
        </w:tc>
      </w:tr>
      <w:tr w:rsidR="002C6952" w:rsidRPr="006C4321" w14:paraId="784BFCD2" w14:textId="77777777" w:rsidTr="006C4321">
        <w:tc>
          <w:tcPr>
            <w:tcW w:w="675" w:type="dxa"/>
          </w:tcPr>
          <w:p w14:paraId="3C416AA9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10</w:t>
            </w:r>
          </w:p>
        </w:tc>
        <w:tc>
          <w:tcPr>
            <w:tcW w:w="1701" w:type="dxa"/>
          </w:tcPr>
          <w:p w14:paraId="34A5B3BB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Mobilisierung der Teams</w:t>
            </w:r>
          </w:p>
        </w:tc>
        <w:tc>
          <w:tcPr>
            <w:tcW w:w="3907" w:type="dxa"/>
          </w:tcPr>
          <w:p w14:paraId="53ECDAB5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Rollen klar; Onboarding; erste 2 Wochen Plan bestätigt</w:t>
            </w:r>
          </w:p>
        </w:tc>
        <w:tc>
          <w:tcPr>
            <w:tcW w:w="2105" w:type="dxa"/>
          </w:tcPr>
          <w:p w14:paraId="408F406C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Workstream-Leads</w:t>
            </w:r>
          </w:p>
        </w:tc>
        <w:tc>
          <w:tcPr>
            <w:tcW w:w="2070" w:type="dxa"/>
          </w:tcPr>
          <w:p w14:paraId="52A753F0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Onboarding Pack</w:t>
            </w:r>
          </w:p>
        </w:tc>
      </w:tr>
    </w:tbl>
    <w:p w14:paraId="162EEDF1" w14:textId="77777777" w:rsidR="002C6952" w:rsidRPr="006C4321" w:rsidRDefault="002C6952">
      <w:pPr>
        <w:rPr>
          <w:sz w:val="20"/>
          <w:szCs w:val="20"/>
        </w:rPr>
      </w:pPr>
    </w:p>
    <w:p w14:paraId="216AEE86" w14:textId="77777777" w:rsidR="002C6952" w:rsidRPr="006C4321" w:rsidRDefault="004738FE">
      <w:pPr>
        <w:pStyle w:val="Heading2"/>
        <w:rPr>
          <w:sz w:val="24"/>
          <w:szCs w:val="24"/>
        </w:rPr>
      </w:pPr>
      <w:r w:rsidRPr="006C4321">
        <w:rPr>
          <w:sz w:val="24"/>
          <w:szCs w:val="24"/>
        </w:rPr>
        <w:t>B. Woche 2-8: Stabilisierung &amp; Skalierung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"/>
        <w:gridCol w:w="2099"/>
        <w:gridCol w:w="4543"/>
        <w:gridCol w:w="2550"/>
      </w:tblGrid>
      <w:tr w:rsidR="002C6952" w:rsidRPr="006C4321" w14:paraId="20ED6FE0" w14:textId="77777777" w:rsidTr="002F2508">
        <w:tc>
          <w:tcPr>
            <w:tcW w:w="1008" w:type="dxa"/>
            <w:shd w:val="clear" w:color="auto" w:fill="AECDFF"/>
            <w:vAlign w:val="center"/>
          </w:tcPr>
          <w:p w14:paraId="1E4D5875" w14:textId="77777777" w:rsidR="002C6952" w:rsidRPr="006C4321" w:rsidRDefault="004738FE">
            <w:pPr>
              <w:rPr>
                <w:sz w:val="20"/>
                <w:szCs w:val="20"/>
              </w:rPr>
            </w:pPr>
            <w:proofErr w:type="spellStart"/>
            <w:r w:rsidRPr="006C4321">
              <w:rPr>
                <w:b/>
                <w:color w:val="000042"/>
                <w:sz w:val="18"/>
                <w:szCs w:val="20"/>
              </w:rPr>
              <w:t>Woche</w:t>
            </w:r>
            <w:proofErr w:type="spellEnd"/>
          </w:p>
        </w:tc>
        <w:tc>
          <w:tcPr>
            <w:tcW w:w="2099" w:type="dxa"/>
            <w:shd w:val="clear" w:color="auto" w:fill="AECDFF"/>
            <w:vAlign w:val="center"/>
          </w:tcPr>
          <w:p w14:paraId="184748D0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Fokus</w:t>
            </w:r>
          </w:p>
        </w:tc>
        <w:tc>
          <w:tcPr>
            <w:tcW w:w="4543" w:type="dxa"/>
            <w:shd w:val="clear" w:color="auto" w:fill="AECDFF"/>
            <w:vAlign w:val="center"/>
          </w:tcPr>
          <w:p w14:paraId="01C111E8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Outputs (Definition of Done)</w:t>
            </w:r>
          </w:p>
        </w:tc>
        <w:tc>
          <w:tcPr>
            <w:tcW w:w="2550" w:type="dxa"/>
            <w:shd w:val="clear" w:color="auto" w:fill="AECDFF"/>
            <w:vAlign w:val="center"/>
          </w:tcPr>
          <w:p w14:paraId="66D8A98D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Hinweise</w:t>
            </w:r>
          </w:p>
        </w:tc>
      </w:tr>
      <w:tr w:rsidR="002C6952" w:rsidRPr="006C4321" w14:paraId="25B50F5C" w14:textId="77777777" w:rsidTr="002F2508">
        <w:tc>
          <w:tcPr>
            <w:tcW w:w="1008" w:type="dxa"/>
          </w:tcPr>
          <w:p w14:paraId="4FE9B333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2</w:t>
            </w:r>
          </w:p>
        </w:tc>
        <w:tc>
          <w:tcPr>
            <w:tcW w:w="2099" w:type="dxa"/>
          </w:tcPr>
          <w:p w14:paraId="538C88AA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Plan &amp; Abhängigkeiten</w:t>
            </w:r>
          </w:p>
        </w:tc>
        <w:tc>
          <w:tcPr>
            <w:tcW w:w="4543" w:type="dxa"/>
          </w:tcPr>
          <w:p w14:paraId="5163B321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Baseline Plan v1; Abhängigkeiten mit Owner; Konflikte eskaliert</w:t>
            </w:r>
          </w:p>
        </w:tc>
        <w:tc>
          <w:tcPr>
            <w:tcW w:w="2550" w:type="dxa"/>
          </w:tcPr>
          <w:p w14:paraId="78DBDCDD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Keine "Wunschtermine" - kritischer Pfad muss stimmen.</w:t>
            </w:r>
          </w:p>
        </w:tc>
      </w:tr>
      <w:tr w:rsidR="002C6952" w:rsidRPr="006C4321" w14:paraId="799773A5" w14:textId="77777777" w:rsidTr="002F2508">
        <w:tc>
          <w:tcPr>
            <w:tcW w:w="1008" w:type="dxa"/>
          </w:tcPr>
          <w:p w14:paraId="2E1B06AD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3</w:t>
            </w:r>
          </w:p>
        </w:tc>
        <w:tc>
          <w:tcPr>
            <w:tcW w:w="2099" w:type="dxa"/>
          </w:tcPr>
          <w:p w14:paraId="5DDBF4E9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Qualität der Statusdaten</w:t>
            </w:r>
          </w:p>
        </w:tc>
        <w:tc>
          <w:tcPr>
            <w:tcW w:w="4543" w:type="dxa"/>
          </w:tcPr>
          <w:p w14:paraId="5A4F7538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Ampelstatus-Konsistenz; Datenquellen definiert; Kommentarpflicht bei Rot</w:t>
            </w:r>
          </w:p>
        </w:tc>
        <w:tc>
          <w:tcPr>
            <w:tcW w:w="2550" w:type="dxa"/>
          </w:tcPr>
          <w:p w14:paraId="3550D8BC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Ampelstatus ohne Narrative ist wertlos.</w:t>
            </w:r>
          </w:p>
        </w:tc>
      </w:tr>
      <w:tr w:rsidR="002C6952" w:rsidRPr="006C4321" w14:paraId="3CB378E9" w14:textId="77777777" w:rsidTr="002F2508">
        <w:tc>
          <w:tcPr>
            <w:tcW w:w="1008" w:type="dxa"/>
          </w:tcPr>
          <w:p w14:paraId="423C687E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4</w:t>
            </w:r>
          </w:p>
        </w:tc>
        <w:tc>
          <w:tcPr>
            <w:tcW w:w="2099" w:type="dxa"/>
          </w:tcPr>
          <w:p w14:paraId="228184D0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Risiko-Management aktiv</w:t>
            </w:r>
          </w:p>
        </w:tc>
        <w:tc>
          <w:tcPr>
            <w:tcW w:w="4543" w:type="dxa"/>
          </w:tcPr>
          <w:p w14:paraId="5DD0EDA3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Top Risiken mit Maßnahmen; Residual Risk sichtbar</w:t>
            </w:r>
          </w:p>
        </w:tc>
        <w:tc>
          <w:tcPr>
            <w:tcW w:w="2550" w:type="dxa"/>
          </w:tcPr>
          <w:p w14:paraId="33396A65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 xml:space="preserve">"Mitigation" </w:t>
            </w:r>
            <w:proofErr w:type="spellStart"/>
            <w:r w:rsidRPr="006C4321">
              <w:rPr>
                <w:sz w:val="18"/>
                <w:szCs w:val="20"/>
              </w:rPr>
              <w:t>braucht</w:t>
            </w:r>
            <w:proofErr w:type="spellEnd"/>
            <w:r w:rsidRPr="006C4321">
              <w:rPr>
                <w:sz w:val="18"/>
                <w:szCs w:val="20"/>
              </w:rPr>
              <w:t xml:space="preserve"> Due + Owner.</w:t>
            </w:r>
          </w:p>
        </w:tc>
      </w:tr>
      <w:tr w:rsidR="002C6952" w:rsidRPr="006C4321" w14:paraId="32EE5EEE" w14:textId="77777777" w:rsidTr="002F2508">
        <w:tc>
          <w:tcPr>
            <w:tcW w:w="1008" w:type="dxa"/>
          </w:tcPr>
          <w:p w14:paraId="4C3262C7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5</w:t>
            </w:r>
          </w:p>
        </w:tc>
        <w:tc>
          <w:tcPr>
            <w:tcW w:w="2099" w:type="dxa"/>
          </w:tcPr>
          <w:p w14:paraId="440447DB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Steering Committee-Standard</w:t>
            </w:r>
          </w:p>
        </w:tc>
        <w:tc>
          <w:tcPr>
            <w:tcW w:w="4543" w:type="dxa"/>
          </w:tcPr>
          <w:p w14:paraId="7345750C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 xml:space="preserve">Steering Committee Pack Definition </w:t>
            </w:r>
            <w:proofErr w:type="spellStart"/>
            <w:r w:rsidRPr="006C4321">
              <w:rPr>
                <w:sz w:val="18"/>
                <w:szCs w:val="20"/>
                <w:lang w:val="de-DE"/>
              </w:rPr>
              <w:t>of</w:t>
            </w:r>
            <w:proofErr w:type="spellEnd"/>
            <w:r w:rsidRPr="006C4321">
              <w:rPr>
                <w:sz w:val="18"/>
                <w:szCs w:val="20"/>
                <w:lang w:val="de-DE"/>
              </w:rPr>
              <w:t xml:space="preserve"> Done; Entscheidungen werden geloggt; Actions folgen</w:t>
            </w:r>
          </w:p>
        </w:tc>
        <w:tc>
          <w:tcPr>
            <w:tcW w:w="2550" w:type="dxa"/>
          </w:tcPr>
          <w:p w14:paraId="4AA83B0E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Jedes Meeting muss Entscheidungen erzeugen.</w:t>
            </w:r>
          </w:p>
        </w:tc>
      </w:tr>
      <w:tr w:rsidR="002C6952" w:rsidRPr="006C4321" w14:paraId="6E589F0C" w14:textId="77777777" w:rsidTr="002F2508">
        <w:tc>
          <w:tcPr>
            <w:tcW w:w="1008" w:type="dxa"/>
          </w:tcPr>
          <w:p w14:paraId="7DBC97F0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6</w:t>
            </w:r>
          </w:p>
        </w:tc>
        <w:tc>
          <w:tcPr>
            <w:tcW w:w="2099" w:type="dxa"/>
          </w:tcPr>
          <w:p w14:paraId="471DDD54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Change Control</w:t>
            </w:r>
          </w:p>
        </w:tc>
        <w:tc>
          <w:tcPr>
            <w:tcW w:w="4543" w:type="dxa"/>
          </w:tcPr>
          <w:p w14:paraId="5FC0C531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Change Requests standardisiert; Schwellen; Traceability</w:t>
            </w:r>
          </w:p>
        </w:tc>
        <w:tc>
          <w:tcPr>
            <w:tcW w:w="2550" w:type="dxa"/>
          </w:tcPr>
          <w:p w14:paraId="0159D54D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Scope drift früh bremsen.</w:t>
            </w:r>
          </w:p>
        </w:tc>
      </w:tr>
      <w:tr w:rsidR="002C6952" w:rsidRPr="006C4321" w14:paraId="3E076FF3" w14:textId="77777777" w:rsidTr="002F2508">
        <w:tc>
          <w:tcPr>
            <w:tcW w:w="1008" w:type="dxa"/>
          </w:tcPr>
          <w:p w14:paraId="58DA726A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7</w:t>
            </w:r>
          </w:p>
        </w:tc>
        <w:tc>
          <w:tcPr>
            <w:tcW w:w="2099" w:type="dxa"/>
          </w:tcPr>
          <w:p w14:paraId="4F6436D5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Performance &amp; Benefits</w:t>
            </w:r>
          </w:p>
        </w:tc>
        <w:tc>
          <w:tcPr>
            <w:tcW w:w="4543" w:type="dxa"/>
          </w:tcPr>
          <w:p w14:paraId="5298598D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Benefit-Leistungskennzahlen; Tracking; Ownership</w:t>
            </w:r>
          </w:p>
        </w:tc>
        <w:tc>
          <w:tcPr>
            <w:tcW w:w="2550" w:type="dxa"/>
          </w:tcPr>
          <w:p w14:paraId="39B05DB3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Benefits ohne Owner sterben.</w:t>
            </w:r>
          </w:p>
        </w:tc>
      </w:tr>
      <w:tr w:rsidR="002C6952" w:rsidRPr="006C4321" w14:paraId="682875EB" w14:textId="77777777" w:rsidTr="002F2508">
        <w:tc>
          <w:tcPr>
            <w:tcW w:w="1008" w:type="dxa"/>
          </w:tcPr>
          <w:p w14:paraId="3E5E818A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8</w:t>
            </w:r>
          </w:p>
        </w:tc>
        <w:tc>
          <w:tcPr>
            <w:tcW w:w="2099" w:type="dxa"/>
          </w:tcPr>
          <w:p w14:paraId="4A9C50D1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Operationalisierung</w:t>
            </w:r>
          </w:p>
        </w:tc>
        <w:tc>
          <w:tcPr>
            <w:tcW w:w="4543" w:type="dxa"/>
          </w:tcPr>
          <w:p w14:paraId="69D538EA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>Übergabe/Runbook; Operating Model; Lessons Learned</w:t>
            </w:r>
          </w:p>
        </w:tc>
        <w:tc>
          <w:tcPr>
            <w:tcW w:w="2550" w:type="dxa"/>
          </w:tcPr>
          <w:p w14:paraId="33F564CA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Bereit für den Regelbetrieb ist ein Gate.</w:t>
            </w:r>
          </w:p>
        </w:tc>
      </w:tr>
    </w:tbl>
    <w:p w14:paraId="73409EB8" w14:textId="77777777" w:rsidR="002C6952" w:rsidRPr="006C4321" w:rsidRDefault="002C6952">
      <w:pPr>
        <w:rPr>
          <w:sz w:val="20"/>
          <w:szCs w:val="20"/>
          <w:lang w:val="de-DE"/>
        </w:rPr>
      </w:pPr>
    </w:p>
    <w:p w14:paraId="1115FDB2" w14:textId="77777777" w:rsidR="002C6952" w:rsidRPr="006C4321" w:rsidRDefault="004738FE">
      <w:pPr>
        <w:pStyle w:val="Heading2"/>
        <w:rPr>
          <w:sz w:val="24"/>
          <w:szCs w:val="24"/>
        </w:rPr>
      </w:pPr>
      <w:proofErr w:type="spellStart"/>
      <w:r w:rsidRPr="006C4321">
        <w:rPr>
          <w:sz w:val="24"/>
          <w:szCs w:val="24"/>
        </w:rPr>
        <w:t>Ampelstatus</w:t>
      </w:r>
      <w:proofErr w:type="spellEnd"/>
      <w:r w:rsidRPr="006C4321">
        <w:rPr>
          <w:sz w:val="24"/>
          <w:szCs w:val="24"/>
        </w:rPr>
        <w:t>-Definition (</w:t>
      </w:r>
      <w:proofErr w:type="spellStart"/>
      <w:r w:rsidRPr="006C4321">
        <w:rPr>
          <w:sz w:val="24"/>
          <w:szCs w:val="24"/>
        </w:rPr>
        <w:t>empfohlen</w:t>
      </w:r>
      <w:proofErr w:type="spellEnd"/>
      <w:r w:rsidRPr="006C4321">
        <w:rPr>
          <w:sz w:val="24"/>
          <w:szCs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2C6952" w:rsidRPr="006C4321" w14:paraId="5038EE93" w14:textId="77777777">
        <w:tc>
          <w:tcPr>
            <w:tcW w:w="3400" w:type="dxa"/>
            <w:shd w:val="clear" w:color="auto" w:fill="AECDFF"/>
            <w:vAlign w:val="center"/>
          </w:tcPr>
          <w:p w14:paraId="13B24B17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Status</w:t>
            </w:r>
          </w:p>
        </w:tc>
        <w:tc>
          <w:tcPr>
            <w:tcW w:w="3400" w:type="dxa"/>
            <w:shd w:val="clear" w:color="auto" w:fill="AECDFF"/>
            <w:vAlign w:val="center"/>
          </w:tcPr>
          <w:p w14:paraId="39F77863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Definition</w:t>
            </w:r>
          </w:p>
        </w:tc>
        <w:tc>
          <w:tcPr>
            <w:tcW w:w="3400" w:type="dxa"/>
            <w:shd w:val="clear" w:color="auto" w:fill="AECDFF"/>
            <w:vAlign w:val="center"/>
          </w:tcPr>
          <w:p w14:paraId="65D24F4B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Pflichtaktion</w:t>
            </w:r>
          </w:p>
        </w:tc>
      </w:tr>
      <w:tr w:rsidR="002C6952" w:rsidRPr="006C4321" w14:paraId="71B9D95B" w14:textId="77777777">
        <w:tc>
          <w:tcPr>
            <w:tcW w:w="3400" w:type="dxa"/>
          </w:tcPr>
          <w:p w14:paraId="332560AF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Green</w:t>
            </w:r>
          </w:p>
        </w:tc>
        <w:tc>
          <w:tcPr>
            <w:tcW w:w="3400" w:type="dxa"/>
          </w:tcPr>
          <w:p w14:paraId="3BFAE6E7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Plan ist stabil; keine kritischen Blocker</w:t>
            </w:r>
          </w:p>
        </w:tc>
        <w:tc>
          <w:tcPr>
            <w:tcW w:w="3400" w:type="dxa"/>
          </w:tcPr>
          <w:p w14:paraId="2378F0C7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Update im Weekly; keine Eskalation</w:t>
            </w:r>
          </w:p>
        </w:tc>
      </w:tr>
      <w:tr w:rsidR="002C6952" w:rsidRPr="006C4321" w14:paraId="7EEA14B1" w14:textId="77777777">
        <w:tc>
          <w:tcPr>
            <w:tcW w:w="3400" w:type="dxa"/>
          </w:tcPr>
          <w:p w14:paraId="01D47AD0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Amber</w:t>
            </w:r>
          </w:p>
        </w:tc>
        <w:tc>
          <w:tcPr>
            <w:tcW w:w="3400" w:type="dxa"/>
          </w:tcPr>
          <w:p w14:paraId="4F782FB0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Risiko/Abweichung möglich; Mitigation läuft</w:t>
            </w:r>
          </w:p>
        </w:tc>
        <w:tc>
          <w:tcPr>
            <w:tcW w:w="3400" w:type="dxa"/>
          </w:tcPr>
          <w:p w14:paraId="50CA60A2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proofErr w:type="spellStart"/>
            <w:r w:rsidRPr="006C4321">
              <w:rPr>
                <w:sz w:val="18"/>
                <w:szCs w:val="20"/>
                <w:lang w:val="de-DE"/>
              </w:rPr>
              <w:t>Owner+Due</w:t>
            </w:r>
            <w:proofErr w:type="spellEnd"/>
            <w:r w:rsidRPr="006C4321">
              <w:rPr>
                <w:sz w:val="18"/>
                <w:szCs w:val="20"/>
                <w:lang w:val="de-DE"/>
              </w:rPr>
              <w:t xml:space="preserve"> im Risiko-/</w:t>
            </w:r>
            <w:proofErr w:type="spellStart"/>
            <w:r w:rsidRPr="006C4321">
              <w:rPr>
                <w:sz w:val="18"/>
                <w:szCs w:val="20"/>
                <w:lang w:val="de-DE"/>
              </w:rPr>
              <w:t>Issue</w:t>
            </w:r>
            <w:proofErr w:type="spellEnd"/>
            <w:r w:rsidRPr="006C4321">
              <w:rPr>
                <w:sz w:val="18"/>
                <w:szCs w:val="20"/>
                <w:lang w:val="de-DE"/>
              </w:rPr>
              <w:t>-Register; Review nächste Woche</w:t>
            </w:r>
          </w:p>
        </w:tc>
      </w:tr>
      <w:tr w:rsidR="002C6952" w:rsidRPr="006C4321" w14:paraId="424FFF7C" w14:textId="77777777">
        <w:tc>
          <w:tcPr>
            <w:tcW w:w="3400" w:type="dxa"/>
          </w:tcPr>
          <w:p w14:paraId="7528D571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Red</w:t>
            </w:r>
          </w:p>
        </w:tc>
        <w:tc>
          <w:tcPr>
            <w:tcW w:w="3400" w:type="dxa"/>
          </w:tcPr>
          <w:p w14:paraId="3A9135BB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>Ziel/Termin/Scope gefährdet; Entscheidung nötig</w:t>
            </w:r>
          </w:p>
        </w:tc>
        <w:tc>
          <w:tcPr>
            <w:tcW w:w="3400" w:type="dxa"/>
          </w:tcPr>
          <w:p w14:paraId="6FC70D24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sz w:val="18"/>
                <w:szCs w:val="20"/>
              </w:rPr>
              <w:t xml:space="preserve">Issue-&gt;Decision Paper; </w:t>
            </w:r>
            <w:proofErr w:type="spellStart"/>
            <w:r w:rsidRPr="006C4321">
              <w:rPr>
                <w:sz w:val="18"/>
                <w:szCs w:val="20"/>
              </w:rPr>
              <w:t>Eskalation</w:t>
            </w:r>
            <w:proofErr w:type="spellEnd"/>
            <w:r w:rsidRPr="006C4321">
              <w:rPr>
                <w:sz w:val="18"/>
                <w:szCs w:val="20"/>
              </w:rPr>
              <w:t xml:space="preserve"> </w:t>
            </w:r>
            <w:proofErr w:type="gramStart"/>
            <w:r w:rsidRPr="006C4321">
              <w:rPr>
                <w:sz w:val="18"/>
                <w:szCs w:val="20"/>
              </w:rPr>
              <w:t>an</w:t>
            </w:r>
            <w:proofErr w:type="gramEnd"/>
            <w:r w:rsidRPr="006C4321">
              <w:rPr>
                <w:sz w:val="18"/>
                <w:szCs w:val="20"/>
              </w:rPr>
              <w:t xml:space="preserve"> Program Lead/Steering Committee</w:t>
            </w:r>
          </w:p>
        </w:tc>
      </w:tr>
    </w:tbl>
    <w:p w14:paraId="38878A1E" w14:textId="77777777" w:rsidR="002C6952" w:rsidRPr="006C4321" w:rsidRDefault="002C6952">
      <w:pPr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0"/>
      </w:tblGrid>
      <w:tr w:rsidR="002C6952" w:rsidRPr="006C4321" w14:paraId="6C213E59" w14:textId="77777777">
        <w:tc>
          <w:tcPr>
            <w:tcW w:w="10200" w:type="dxa"/>
            <w:shd w:val="clear" w:color="auto" w:fill="AECDFF"/>
          </w:tcPr>
          <w:p w14:paraId="42CA7618" w14:textId="77777777" w:rsidR="002C6952" w:rsidRPr="006C4321" w:rsidRDefault="004738FE">
            <w:pPr>
              <w:rPr>
                <w:sz w:val="20"/>
                <w:szCs w:val="20"/>
              </w:rPr>
            </w:pPr>
            <w:r w:rsidRPr="006C4321">
              <w:rPr>
                <w:b/>
                <w:color w:val="000042"/>
                <w:sz w:val="18"/>
                <w:szCs w:val="20"/>
              </w:rPr>
              <w:t>Interaktion (optional)</w:t>
            </w:r>
          </w:p>
        </w:tc>
      </w:tr>
      <w:tr w:rsidR="002C6952" w:rsidRPr="006C4321" w14:paraId="0D50DCCC" w14:textId="77777777">
        <w:tc>
          <w:tcPr>
            <w:tcW w:w="10200" w:type="dxa"/>
          </w:tcPr>
          <w:p w14:paraId="5261CF0C" w14:textId="77777777" w:rsidR="002C6952" w:rsidRPr="006C4321" w:rsidRDefault="004738FE">
            <w:pPr>
              <w:rPr>
                <w:sz w:val="20"/>
                <w:szCs w:val="20"/>
                <w:lang w:val="de-DE"/>
              </w:rPr>
            </w:pPr>
            <w:r w:rsidRPr="006C4321">
              <w:rPr>
                <w:sz w:val="18"/>
                <w:szCs w:val="20"/>
                <w:lang w:val="de-DE"/>
              </w:rPr>
              <w:t xml:space="preserve">Wenn Sie ein Project Management Office in kurzer Zeit "zum Laufen" bringen wollen: wir kalibrieren </w:t>
            </w:r>
            <w:proofErr w:type="spellStart"/>
            <w:r w:rsidRPr="006C4321">
              <w:rPr>
                <w:sz w:val="18"/>
                <w:szCs w:val="20"/>
                <w:lang w:val="de-DE"/>
              </w:rPr>
              <w:t>Governance</w:t>
            </w:r>
            <w:proofErr w:type="spellEnd"/>
            <w:r w:rsidRPr="006C4321">
              <w:rPr>
                <w:sz w:val="18"/>
                <w:szCs w:val="20"/>
                <w:lang w:val="de-DE"/>
              </w:rPr>
              <w:t xml:space="preserve">, Ampelstatus, Cadence und Logs so, dass sie Entscheidungen und </w:t>
            </w:r>
            <w:proofErr w:type="spellStart"/>
            <w:r w:rsidRPr="006C4321">
              <w:rPr>
                <w:sz w:val="18"/>
                <w:szCs w:val="20"/>
                <w:lang w:val="de-DE"/>
              </w:rPr>
              <w:t>Delivery</w:t>
            </w:r>
            <w:proofErr w:type="spellEnd"/>
            <w:r w:rsidRPr="006C4321">
              <w:rPr>
                <w:sz w:val="18"/>
                <w:szCs w:val="20"/>
                <w:lang w:val="de-DE"/>
              </w:rPr>
              <w:t xml:space="preserve"> messbar verbessern (statt nur Reporting zu produzieren).</w:t>
            </w:r>
          </w:p>
        </w:tc>
      </w:tr>
    </w:tbl>
    <w:p w14:paraId="723344FD" w14:textId="77777777" w:rsidR="002C6952" w:rsidRPr="006C4321" w:rsidRDefault="002C6952" w:rsidP="003835BA">
      <w:pPr>
        <w:rPr>
          <w:sz w:val="20"/>
          <w:szCs w:val="20"/>
          <w:lang w:val="de-DE"/>
        </w:rPr>
      </w:pPr>
    </w:p>
    <w:sectPr w:rsidR="002C6952" w:rsidRPr="006C4321" w:rsidSect="00034616">
      <w:headerReference w:type="default" r:id="rId11"/>
      <w:footerReference w:type="default" r:id="rId12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12C3" w14:textId="77777777" w:rsidR="00A712B0" w:rsidRDefault="00A712B0">
      <w:pPr>
        <w:spacing w:after="0" w:line="240" w:lineRule="auto"/>
      </w:pPr>
      <w:r>
        <w:separator/>
      </w:r>
    </w:p>
  </w:endnote>
  <w:endnote w:type="continuationSeparator" w:id="0">
    <w:p w14:paraId="7FE1CE17" w14:textId="77777777" w:rsidR="00A712B0" w:rsidRDefault="00A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AA1A" w14:textId="02BA4DAF" w:rsidR="002C6952" w:rsidRDefault="004738FE">
    <w:pPr>
      <w:pStyle w:val="Footer"/>
    </w:pPr>
    <w:r>
      <w:rPr>
        <w:color w:val="818181"/>
        <w:sz w:val="16"/>
      </w:rPr>
      <w:t xml:space="preserve">compact </w:t>
    </w:r>
    <w:proofErr w:type="gramStart"/>
    <w:r>
      <w:rPr>
        <w:color w:val="818181"/>
        <w:sz w:val="16"/>
      </w:rPr>
      <w:t>strategy  |</w:t>
    </w:r>
    <w:proofErr w:type="gramEnd"/>
    <w:r>
      <w:rPr>
        <w:color w:val="818181"/>
        <w:sz w:val="16"/>
      </w:rPr>
      <w:t xml:space="preserve">  </w:t>
    </w:r>
    <w:proofErr w:type="spellStart"/>
    <w:proofErr w:type="gramStart"/>
    <w:r>
      <w:rPr>
        <w:color w:val="818181"/>
        <w:sz w:val="16"/>
      </w:rPr>
      <w:t>Einblick</w:t>
    </w:r>
    <w:proofErr w:type="spellEnd"/>
    <w:r>
      <w:rPr>
        <w:color w:val="818181"/>
        <w:sz w:val="16"/>
      </w:rPr>
      <w:t xml:space="preserve">  |</w:t>
    </w:r>
    <w:proofErr w:type="gramEnd"/>
    <w:r>
      <w:rPr>
        <w:color w:val="818181"/>
        <w:sz w:val="16"/>
      </w:rPr>
      <w:t xml:space="preserve">  PMO </w:t>
    </w:r>
    <w:proofErr w:type="gramStart"/>
    <w:r>
      <w:rPr>
        <w:color w:val="818181"/>
        <w:sz w:val="16"/>
      </w:rPr>
      <w:t>Setup  |</w:t>
    </w:r>
    <w:proofErr w:type="gramEnd"/>
    <w:r>
      <w:rPr>
        <w:color w:val="818181"/>
        <w:sz w:val="16"/>
      </w:rPr>
      <w:t xml:space="preserve">  </w:t>
    </w:r>
    <w:proofErr w:type="spellStart"/>
    <w:r>
      <w:rPr>
        <w:color w:val="818181"/>
        <w:sz w:val="16"/>
      </w:rPr>
      <w:t>Seite</w:t>
    </w:r>
    <w:proofErr w:type="spellEnd"/>
    <w:r>
      <w:rPr>
        <w:color w:val="818181"/>
        <w:sz w:val="16"/>
      </w:rPr>
      <w:t xml:space="preserve"> </w:t>
    </w:r>
    <w:r>
      <w:rPr>
        <w:color w:val="818181"/>
        <w:sz w:val="16"/>
      </w:rPr>
      <w:fldChar w:fldCharType="begin"/>
    </w:r>
    <w:r>
      <w:rPr>
        <w:color w:val="818181"/>
        <w:sz w:val="16"/>
      </w:rPr>
      <w:instrText>PAGE</w:instrText>
    </w:r>
    <w:r>
      <w:rPr>
        <w:color w:val="818181"/>
        <w:sz w:val="16"/>
      </w:rPr>
      <w:fldChar w:fldCharType="separate"/>
    </w:r>
    <w:r w:rsidR="002F2508">
      <w:rPr>
        <w:noProof/>
        <w:color w:val="818181"/>
        <w:sz w:val="16"/>
      </w:rPr>
      <w:t>1</w:t>
    </w:r>
    <w:r>
      <w:rPr>
        <w:color w:val="81818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0880F" w14:textId="77777777" w:rsidR="00A712B0" w:rsidRDefault="00A712B0">
      <w:pPr>
        <w:spacing w:after="0" w:line="240" w:lineRule="auto"/>
      </w:pPr>
      <w:r>
        <w:separator/>
      </w:r>
    </w:p>
  </w:footnote>
  <w:footnote w:type="continuationSeparator" w:id="0">
    <w:p w14:paraId="4708D81F" w14:textId="77777777" w:rsidR="00A712B0" w:rsidRDefault="00A7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5FF7D" w14:textId="77777777" w:rsidR="002C6952" w:rsidRDefault="004738FE">
    <w:pPr>
      <w:pStyle w:val="Header"/>
      <w:jc w:val="right"/>
    </w:pPr>
    <w:r>
      <w:rPr>
        <w:noProof/>
      </w:rPr>
      <w:drawing>
        <wp:inline distT="0" distB="0" distL="0" distR="0" wp14:anchorId="4108AD82" wp14:editId="04F518B7">
          <wp:extent cx="1463040" cy="68153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act-strategy-mai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681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3592726">
    <w:abstractNumId w:val="8"/>
  </w:num>
  <w:num w:numId="2" w16cid:durableId="397703894">
    <w:abstractNumId w:val="6"/>
  </w:num>
  <w:num w:numId="3" w16cid:durableId="1230112974">
    <w:abstractNumId w:val="5"/>
  </w:num>
  <w:num w:numId="4" w16cid:durableId="349379944">
    <w:abstractNumId w:val="4"/>
  </w:num>
  <w:num w:numId="5" w16cid:durableId="1235899568">
    <w:abstractNumId w:val="7"/>
  </w:num>
  <w:num w:numId="6" w16cid:durableId="407311411">
    <w:abstractNumId w:val="3"/>
  </w:num>
  <w:num w:numId="7" w16cid:durableId="710571049">
    <w:abstractNumId w:val="2"/>
  </w:num>
  <w:num w:numId="8" w16cid:durableId="1296063998">
    <w:abstractNumId w:val="1"/>
  </w:num>
  <w:num w:numId="9" w16cid:durableId="123727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6952"/>
    <w:rsid w:val="002F2508"/>
    <w:rsid w:val="00326F90"/>
    <w:rsid w:val="003835BA"/>
    <w:rsid w:val="004738FE"/>
    <w:rsid w:val="00491A11"/>
    <w:rsid w:val="006C4321"/>
    <w:rsid w:val="00A712B0"/>
    <w:rsid w:val="00AA1D8D"/>
    <w:rsid w:val="00B47730"/>
    <w:rsid w:val="00CB0664"/>
    <w:rsid w:val="00CE77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235D5A9-2C72-4D87-BB7C-076400E5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Poppins" w:hAnsi="Poppins"/>
      <w:color w:val="060614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00004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00004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00004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16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fontTable" Target="fontTable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0" Type="http://schemas.openxmlformats.org/officeDocument/2006/relationships/endnotes" Target="endnotes.xml" />
  <Relationship Id="rId9" Type="http://schemas.openxmlformats.org/officeDocument/2006/relationships/footnotes" Target="footnotes.xml" />
  <Relationship Id="rId14" Type="http://schemas.openxmlformats.org/officeDocument/2006/relationships/theme" Target="theme/theme1.xml" />
</Relationships>
</file>

<file path=word/_rels/header1.xml.rels><?xml version="1.0" encoding="utf-16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PMO Setup Checklist</dc:title>
  <dc:subject/>
  <dc:creator>python-docx</dc:creator>
  <cp:keywords/>
  <dc:description>generated by python-docx</dc:description>
  <cp:lastModifiedBy>Niklas Bals</cp:lastModifiedBy>
  <cp:revision>4</cp:revision>
  <dcterms:created xsi:type="dcterms:W3CDTF">2013-12-23T23:15:00Z</dcterms:created>
  <dcterms:modified xsi:type="dcterms:W3CDTF">2026-06-02T09:46:00Z</dcterms:modified>
  <cp:category/>
</cp:coreProperties>
</file>