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16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2BA4" w14:textId="77777777" w:rsidR="008559C8" w:rsidRDefault="009643DA">
      <w:pPr>
        <w:spacing w:after="40"/>
        <w:rPr>
          <w:rFonts w:hint="eastAsia"/>
        </w:rPr>
      </w:pPr>
      <w:r>
        <w:rPr>
          <w:b/>
          <w:color w:val="818181"/>
          <w:sz w:val="18"/>
        </w:rPr>
        <w:t>EINBLICK</w:t>
      </w:r>
    </w:p>
    <w:p w14:paraId="137FF6FE" w14:textId="77777777" w:rsidR="008559C8" w:rsidRDefault="009643DA">
      <w:pPr>
        <w:pStyle w:val="Heading1"/>
        <w:spacing w:after="40"/>
      </w:pPr>
      <w:r>
        <w:t>Decision Paper (One-Pager) – Ausgefülltes Beispiel</w:t>
      </w:r>
    </w:p>
    <w:p w14:paraId="2F331B88" w14:textId="77777777" w:rsidR="008559C8" w:rsidRPr="006930CB" w:rsidRDefault="009643DA">
      <w:pPr>
        <w:spacing w:after="200"/>
        <w:rPr>
          <w:rFonts w:hint="eastAsia"/>
          <w:lang w:val="de-DE"/>
        </w:rPr>
      </w:pPr>
      <w:r>
        <w:rPr>
          <w:color w:val="818181"/>
          <w:sz w:val="18"/>
          <w:lang w:val="de-DE"/>
        </w:rPr>
        <w:t>Illustratives Beispiel (anonymisierte Demo). Die leere Vorlage ist separat verfügbar.</w:t>
      </w:r>
    </w:p>
    <w:p w14:paraId="56B3FF28" w14:textId="77777777" w:rsidR="008559C8" w:rsidRPr="006930CB" w:rsidRDefault="009643DA">
      <w:pPr>
        <w:spacing w:after="240"/>
        <w:rPr>
          <w:rFonts w:hint="eastAsia"/>
          <w:lang w:val="de-DE"/>
        </w:rPr>
      </w:pPr>
      <w:r>
        <w:rPr>
          <w:i/>
          <w:color w:val="818181"/>
          <w:lang w:val="de-DE"/>
        </w:rPr>
        <w:t>Strukturiert Entscheidungen so, dass sie innerhalb eines Steering- oder Owner-Termins freigegeben werden können.</w:t>
      </w:r>
    </w:p>
    <w:p w14:paraId="525077B3" w14:textId="77777777" w:rsidR="008559C8" w:rsidRPr="006930CB" w:rsidRDefault="009643DA">
      <w:pPr>
        <w:rPr>
          <w:rFonts w:hint="eastAsia"/>
          <w:lang w:val="de-DE"/>
        </w:rPr>
      </w:pPr>
      <w:r>
        <w:rPr>
          <w:lang w:val="de-DE"/>
        </w:rPr>
        <w:t>Dieses Template ist bewusst knapp. Ziel ist: klare Entscheidungsfrage, explizite Optionen, nachvollziehbare Kriterien und eine umsetzbare Empfehlung.</w:t>
      </w:r>
    </w:p>
    <w:p w14:paraId="740CE385" w14:textId="77777777" w:rsidR="008559C8" w:rsidRDefault="009643DA">
      <w:pPr>
        <w:pStyle w:val="Heading2"/>
      </w:pPr>
      <w:r>
        <w:t>1. Entscheidungsdaten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51"/>
        <w:gridCol w:w="7654"/>
      </w:tblGrid>
      <w:tr w:rsidR="008559C8" w14:paraId="7443072C" w14:textId="77777777">
        <w:tc>
          <w:tcPr>
            <w:tcW w:w="2551" w:type="dxa"/>
            <w:shd w:val="clear" w:color="auto" w:fill="F2F6FF"/>
            <w:vAlign w:val="center"/>
          </w:tcPr>
          <w:p w14:paraId="2D8148D3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Decision ID</w:t>
            </w:r>
          </w:p>
        </w:tc>
        <w:tc>
          <w:tcPr>
            <w:tcW w:w="7654" w:type="dxa"/>
            <w:vAlign w:val="center"/>
          </w:tcPr>
          <w:p w14:paraId="53D38285" w14:textId="77777777" w:rsidR="008559C8" w:rsidRDefault="009643DA">
            <w:pPr>
              <w:rPr>
                <w:rFonts w:hint="eastAsia"/>
              </w:rPr>
            </w:pPr>
            <w:r>
              <w:rPr>
                <w:sz w:val="19"/>
              </w:rPr>
              <w:t>D-012</w:t>
            </w:r>
          </w:p>
        </w:tc>
      </w:tr>
      <w:tr w:rsidR="008559C8" w14:paraId="791F63D6" w14:textId="77777777">
        <w:tc>
          <w:tcPr>
            <w:tcW w:w="2551" w:type="dxa"/>
            <w:shd w:val="clear" w:color="auto" w:fill="F2F6FF"/>
            <w:vAlign w:val="center"/>
          </w:tcPr>
          <w:p w14:paraId="4A77218A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Datum</w:t>
            </w:r>
          </w:p>
        </w:tc>
        <w:tc>
          <w:tcPr>
            <w:tcW w:w="7654" w:type="dxa"/>
            <w:vAlign w:val="center"/>
          </w:tcPr>
          <w:p w14:paraId="574E7D07" w14:textId="77777777" w:rsidR="008559C8" w:rsidRDefault="009643DA">
            <w:pPr>
              <w:rPr>
                <w:rFonts w:hint="eastAsia"/>
              </w:rPr>
            </w:pPr>
            <w:r>
              <w:rPr>
                <w:sz w:val="19"/>
              </w:rPr>
              <w:t>2026-02-28</w:t>
            </w:r>
          </w:p>
        </w:tc>
      </w:tr>
      <w:tr w:rsidR="008559C8" w14:paraId="33F8BFBE" w14:textId="77777777">
        <w:tc>
          <w:tcPr>
            <w:tcW w:w="2551" w:type="dxa"/>
            <w:shd w:val="clear" w:color="auto" w:fill="F2F6FF"/>
            <w:vAlign w:val="center"/>
          </w:tcPr>
          <w:p w14:paraId="4445F0F8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Entscheidungseigner (Owner)</w:t>
            </w:r>
          </w:p>
        </w:tc>
        <w:tc>
          <w:tcPr>
            <w:tcW w:w="7654" w:type="dxa"/>
            <w:vAlign w:val="center"/>
          </w:tcPr>
          <w:p w14:paraId="4A3A270B" w14:textId="77777777" w:rsidR="008559C8" w:rsidRDefault="009643DA">
            <w:pPr>
              <w:rPr>
                <w:rFonts w:hint="eastAsia"/>
              </w:rPr>
            </w:pPr>
            <w:r>
              <w:rPr>
                <w:sz w:val="19"/>
              </w:rPr>
              <w:t>Enterprise Architect</w:t>
            </w:r>
          </w:p>
        </w:tc>
      </w:tr>
      <w:tr w:rsidR="008559C8" w14:paraId="0E0D2A5B" w14:textId="77777777">
        <w:tc>
          <w:tcPr>
            <w:tcW w:w="2551" w:type="dxa"/>
            <w:shd w:val="clear" w:color="auto" w:fill="F2F6FF"/>
            <w:vAlign w:val="center"/>
          </w:tcPr>
          <w:p w14:paraId="68E0A154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Entscheider (Approver)</w:t>
            </w:r>
          </w:p>
        </w:tc>
        <w:tc>
          <w:tcPr>
            <w:tcW w:w="7654" w:type="dxa"/>
            <w:vAlign w:val="center"/>
          </w:tcPr>
          <w:p w14:paraId="0C9A1465" w14:textId="77777777" w:rsidR="008559C8" w:rsidRDefault="009643DA">
            <w:pPr>
              <w:rPr>
                <w:rFonts w:hint="eastAsia"/>
              </w:rPr>
            </w:pPr>
            <w:r>
              <w:rPr>
                <w:sz w:val="19"/>
              </w:rPr>
              <w:t>Steering Committee</w:t>
            </w:r>
          </w:p>
        </w:tc>
      </w:tr>
      <w:tr w:rsidR="008559C8" w14:paraId="36B5023D" w14:textId="77777777">
        <w:tc>
          <w:tcPr>
            <w:tcW w:w="2551" w:type="dxa"/>
            <w:shd w:val="clear" w:color="auto" w:fill="F2F6FF"/>
            <w:vAlign w:val="center"/>
          </w:tcPr>
          <w:p w14:paraId="2A1E995C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Entscheidungsfrist</w:t>
            </w:r>
          </w:p>
        </w:tc>
        <w:tc>
          <w:tcPr>
            <w:tcW w:w="7654" w:type="dxa"/>
            <w:vAlign w:val="center"/>
          </w:tcPr>
          <w:p w14:paraId="72EE3004" w14:textId="77777777" w:rsidR="008559C8" w:rsidRDefault="009643DA">
            <w:pPr>
              <w:rPr>
                <w:rFonts w:hint="eastAsia"/>
              </w:rPr>
            </w:pPr>
            <w:r>
              <w:rPr>
                <w:sz w:val="19"/>
              </w:rPr>
              <w:t>2026-02-28 (Steering Committee Kalenderwoche 9)</w:t>
            </w:r>
          </w:p>
        </w:tc>
      </w:tr>
      <w:tr w:rsidR="008559C8" w14:paraId="6636A7CE" w14:textId="77777777">
        <w:tc>
          <w:tcPr>
            <w:tcW w:w="2551" w:type="dxa"/>
            <w:shd w:val="clear" w:color="auto" w:fill="F2F6FF"/>
            <w:vAlign w:val="center"/>
          </w:tcPr>
          <w:p w14:paraId="5923B081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Status</w:t>
            </w:r>
          </w:p>
        </w:tc>
        <w:tc>
          <w:tcPr>
            <w:tcW w:w="7654" w:type="dxa"/>
            <w:vAlign w:val="center"/>
          </w:tcPr>
          <w:p w14:paraId="4937369B" w14:textId="77777777" w:rsidR="008559C8" w:rsidRDefault="009643DA">
            <w:pPr>
              <w:rPr>
                <w:rFonts w:hint="eastAsia"/>
              </w:rPr>
            </w:pPr>
            <w:r>
              <w:rPr>
                <w:sz w:val="19"/>
              </w:rPr>
              <w:t>Approved</w:t>
            </w:r>
          </w:p>
        </w:tc>
      </w:tr>
      <w:tr w:rsidR="008559C8" w14:paraId="669B2A5C" w14:textId="77777777">
        <w:tc>
          <w:tcPr>
            <w:tcW w:w="2551" w:type="dxa"/>
            <w:shd w:val="clear" w:color="auto" w:fill="F2F6FF"/>
            <w:vAlign w:val="center"/>
          </w:tcPr>
          <w:p w14:paraId="59D07F52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Impact Level</w:t>
            </w:r>
          </w:p>
        </w:tc>
        <w:tc>
          <w:tcPr>
            <w:tcW w:w="7654" w:type="dxa"/>
            <w:vAlign w:val="center"/>
          </w:tcPr>
          <w:p w14:paraId="2EB165CD" w14:textId="77777777" w:rsidR="008559C8" w:rsidRDefault="009643DA">
            <w:pPr>
              <w:rPr>
                <w:rFonts w:hint="eastAsia"/>
              </w:rPr>
            </w:pPr>
            <w:r>
              <w:rPr>
                <w:sz w:val="19"/>
              </w:rPr>
              <w:t>4 (hoch)</w:t>
            </w:r>
          </w:p>
        </w:tc>
      </w:tr>
      <w:tr w:rsidR="008559C8" w:rsidRPr="006930CB" w14:paraId="1477B8A5" w14:textId="77777777">
        <w:tc>
          <w:tcPr>
            <w:tcW w:w="2551" w:type="dxa"/>
            <w:shd w:val="clear" w:color="auto" w:fill="F2F6FF"/>
            <w:vAlign w:val="center"/>
          </w:tcPr>
          <w:p w14:paraId="69B4F0CC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Default bei Nicht-Entscheidung</w:t>
            </w:r>
          </w:p>
        </w:tc>
        <w:tc>
          <w:tcPr>
            <w:tcW w:w="7654" w:type="dxa"/>
            <w:vAlign w:val="center"/>
          </w:tcPr>
          <w:p w14:paraId="5D86B918" w14:textId="77777777" w:rsidR="008559C8" w:rsidRPr="006930CB" w:rsidRDefault="009643DA">
            <w:pPr>
              <w:rPr>
                <w:rFonts w:hint="eastAsia"/>
                <w:lang w:val="de-DE"/>
              </w:rPr>
            </w:pPr>
            <w:r>
              <w:rPr>
                <w:sz w:val="19"/>
                <w:lang w:val="de-DE"/>
              </w:rPr>
              <w:t>Architektur-Freeze (M02) verschiebt sich; Vendor-Vertrag und Migration blockiert; kritischer Pfad muss neu geplant werden.</w:t>
            </w:r>
          </w:p>
        </w:tc>
      </w:tr>
    </w:tbl>
    <w:p w14:paraId="4FF34D22" w14:textId="77777777" w:rsidR="008559C8" w:rsidRPr="006930CB" w:rsidRDefault="008559C8">
      <w:pPr>
        <w:rPr>
          <w:rFonts w:hint="eastAsia"/>
          <w:lang w:val="de-DE"/>
        </w:rPr>
      </w:pPr>
    </w:p>
    <w:p w14:paraId="43E2FE39" w14:textId="77777777" w:rsidR="008559C8" w:rsidRPr="006930CB" w:rsidRDefault="009643DA">
      <w:pPr>
        <w:pStyle w:val="Heading2"/>
        <w:rPr>
          <w:lang w:val="de-DE"/>
        </w:rPr>
      </w:pPr>
      <w:r>
        <w:rPr>
          <w:lang w:val="de-DE"/>
        </w:rPr>
        <w:t>2. Entscheidungsfrage</w:t>
      </w:r>
    </w:p>
    <w:p w14:paraId="763FA79F" w14:textId="77777777" w:rsidR="008559C8" w:rsidRPr="006930CB" w:rsidRDefault="009643DA">
      <w:pPr>
        <w:rPr>
          <w:rFonts w:hint="eastAsia"/>
          <w:lang w:val="de-DE"/>
        </w:rPr>
      </w:pPr>
      <w:r>
        <w:rPr>
          <w:lang w:val="de-DE"/>
        </w:rPr>
        <w:t>Formulieren Sie eine eindeutige Frage (Ja/Nein oder Auswahl zwischen Optionen).</w:t>
      </w:r>
    </w:p>
    <w:p w14:paraId="030E7394" w14:textId="77777777" w:rsidR="008559C8" w:rsidRPr="006930CB" w:rsidRDefault="009643DA">
      <w:pPr>
        <w:rPr>
          <w:rFonts w:hint="eastAsia"/>
          <w:lang w:val="de-DE"/>
        </w:rPr>
      </w:pPr>
      <w:r>
        <w:rPr>
          <w:i/>
          <w:lang w:val="de-DE"/>
        </w:rPr>
        <w:t>Beispiel: "Sollen wir Option B als Zielarchitektur freigeben und die Option A damit verwerfen?"</w:t>
      </w:r>
    </w:p>
    <w:p w14:paraId="5C74AF22" w14:textId="77777777" w:rsidR="008559C8" w:rsidRDefault="009643DA">
      <w:pPr>
        <w:pStyle w:val="Heading2"/>
      </w:pPr>
      <w:r>
        <w:t>3. Kontext und Trigger</w:t>
      </w:r>
    </w:p>
    <w:p w14:paraId="036F984E" w14:textId="6D766258" w:rsidR="008559C8" w:rsidRDefault="009643DA" w:rsidP="006930CB">
      <w:pPr>
        <w:pStyle w:val="ListParagraph"/>
        <w:numPr>
          <w:ilvl w:val="0"/>
          <w:numId w:val="11"/>
        </w:numPr>
        <w:rPr>
          <w:rFonts w:hint="eastAsia"/>
        </w:rPr>
      </w:pPr>
      <w:r>
        <w:t>Outcome: termingerechter Architektur-Freeze (M02) als Voraussetzung für Vendor-Vertrag und Migration.</w:t>
      </w:r>
    </w:p>
    <w:p w14:paraId="6B32907F" w14:textId="696E572B" w:rsidR="008559C8" w:rsidRPr="006930CB" w:rsidRDefault="009643DA" w:rsidP="006930CB">
      <w:pPr>
        <w:pStyle w:val="ListParagraph"/>
        <w:numPr>
          <w:ilvl w:val="0"/>
          <w:numId w:val="11"/>
        </w:numPr>
        <w:rPr>
          <w:rFonts w:hint="eastAsia"/>
          <w:lang w:val="de-DE"/>
        </w:rPr>
      </w:pPr>
      <w:r>
        <w:rPr>
          <w:lang w:val="de-DE"/>
        </w:rPr>
        <w:t>Trigger: Meilenstein M02 erzwingt den Freeze; Vendor-Angebote hängen am Zielbild.</w:t>
      </w:r>
    </w:p>
    <w:p w14:paraId="0DDE3FC4" w14:textId="281F941A" w:rsidR="008559C8" w:rsidRPr="006930CB" w:rsidRDefault="009643DA" w:rsidP="006930CB">
      <w:pPr>
        <w:pStyle w:val="ListParagraph"/>
        <w:numPr>
          <w:ilvl w:val="0"/>
          <w:numId w:val="11"/>
        </w:numPr>
        <w:rPr>
          <w:rFonts w:hint="eastAsia"/>
          <w:lang w:val="de-DE"/>
        </w:rPr>
      </w:pPr>
      <w:r>
        <w:rPr>
          <w:lang w:val="de-DE"/>
        </w:rPr>
        <w:t>Heute unklar: Abwägung zwischen Flexibilität (Eigenbau) und Liefergeschwindigkeit/Betriebsrisiko (Standard).</w:t>
      </w:r>
    </w:p>
    <w:p w14:paraId="2240FDC6" w14:textId="50478D03" w:rsidR="006930CB" w:rsidRDefault="009643DA" w:rsidP="006930CB">
      <w:pPr>
        <w:pStyle w:val="ListParagraph"/>
        <w:numPr>
          <w:ilvl w:val="0"/>
          <w:numId w:val="11"/>
        </w:numPr>
      </w:pPr>
      <w:r>
        <w:t>Betroffene Stakeholder: IT, Security, Operations, Vendor Management.</w:t>
      </w:r>
    </w:p>
    <w:p w14:paraId="63F98B3F" w14:textId="77777777" w:rsidR="006930CB" w:rsidRDefault="006930CB">
      <w:pPr>
        <w:spacing w:after="200"/>
      </w:pPr>
      <w:r>
        <w:br w:type="page"/>
      </w:r>
    </w:p>
    <w:p w14:paraId="325457EB" w14:textId="77777777" w:rsidR="008559C8" w:rsidRDefault="009643DA">
      <w:pPr>
        <w:pStyle w:val="Heading2"/>
      </w:pPr>
      <w:r>
        <w:t>4. Optionen (max. 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"/>
        <w:gridCol w:w="2324"/>
        <w:gridCol w:w="286"/>
        <w:gridCol w:w="1170"/>
        <w:gridCol w:w="1260"/>
        <w:gridCol w:w="2683"/>
        <w:gridCol w:w="1685"/>
      </w:tblGrid>
      <w:tr w:rsidR="008559C8" w14:paraId="0AE1E8E5" w14:textId="77777777" w:rsidTr="006930CB">
        <w:tc>
          <w:tcPr>
            <w:tcW w:w="1008" w:type="dxa"/>
            <w:shd w:val="clear" w:color="auto" w:fill="AECDFF"/>
            <w:vAlign w:val="center"/>
          </w:tcPr>
          <w:p w14:paraId="68BD94AE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Option</w:t>
            </w:r>
          </w:p>
        </w:tc>
        <w:tc>
          <w:tcPr>
            <w:tcW w:w="2610" w:type="dxa"/>
            <w:gridSpan w:val="2"/>
            <w:shd w:val="clear" w:color="auto" w:fill="AECDFF"/>
            <w:vAlign w:val="center"/>
          </w:tcPr>
          <w:p w14:paraId="4BFDCDE6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Kurzbeschreibung</w:t>
            </w:r>
          </w:p>
        </w:tc>
        <w:tc>
          <w:tcPr>
            <w:tcW w:w="1170" w:type="dxa"/>
            <w:shd w:val="clear" w:color="auto" w:fill="AECDFF"/>
            <w:vAlign w:val="center"/>
          </w:tcPr>
          <w:p w14:paraId="62D0BF9A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Vorteile</w:t>
            </w:r>
          </w:p>
        </w:tc>
        <w:tc>
          <w:tcPr>
            <w:tcW w:w="1260" w:type="dxa"/>
            <w:shd w:val="clear" w:color="auto" w:fill="AECDFF"/>
            <w:vAlign w:val="center"/>
          </w:tcPr>
          <w:p w14:paraId="7D5368FC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Nachteile</w:t>
            </w:r>
          </w:p>
        </w:tc>
        <w:tc>
          <w:tcPr>
            <w:tcW w:w="2683" w:type="dxa"/>
            <w:shd w:val="clear" w:color="auto" w:fill="AECDFF"/>
            <w:vAlign w:val="center"/>
          </w:tcPr>
          <w:p w14:paraId="03EF76EC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Risiken/Abhängigkeiten</w:t>
            </w:r>
          </w:p>
        </w:tc>
        <w:tc>
          <w:tcPr>
            <w:tcW w:w="1685" w:type="dxa"/>
            <w:shd w:val="clear" w:color="auto" w:fill="AECDFF"/>
            <w:vAlign w:val="center"/>
          </w:tcPr>
          <w:p w14:paraId="14B1FA74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Kosten/Timing</w:t>
            </w:r>
          </w:p>
        </w:tc>
      </w:tr>
      <w:tr w:rsidR="008559C8" w14:paraId="0DFC6B10" w14:textId="77777777" w:rsidTr="006930CB">
        <w:tc>
          <w:tcPr>
            <w:tcW w:w="1008" w:type="dxa"/>
          </w:tcPr>
          <w:p w14:paraId="17B047E0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A</w:t>
            </w:r>
          </w:p>
        </w:tc>
        <w:tc>
          <w:tcPr>
            <w:tcW w:w="2324" w:type="dxa"/>
          </w:tcPr>
          <w:p w14:paraId="60C21611" w14:textId="77777777" w:rsidR="008559C8" w:rsidRDefault="008559C8">
            <w:pPr>
              <w:rPr>
                <w:rFonts w:hint="eastAsia"/>
              </w:rPr>
            </w:pPr>
            <w:r>
              <w:t>Eigenentwicklung (Custom)</w:t>
            </w:r>
          </w:p>
        </w:tc>
        <w:tc>
          <w:tcPr>
            <w:tcW w:w="1456" w:type="dxa"/>
            <w:gridSpan w:val="2"/>
          </w:tcPr>
          <w:p w14:paraId="10D58523" w14:textId="77777777" w:rsidR="008559C8" w:rsidRDefault="008559C8">
            <w:pPr>
              <w:rPr>
                <w:rFonts w:hint="eastAsia"/>
              </w:rPr>
            </w:pPr>
            <w:r>
              <w:t>Volle Flexibilität, passgenau auf Sonderfälle</w:t>
            </w:r>
          </w:p>
        </w:tc>
        <w:tc>
          <w:tcPr>
            <w:tcW w:w="1260" w:type="dxa"/>
          </w:tcPr>
          <w:p w14:paraId="6A6145F6" w14:textId="77777777" w:rsidR="008559C8" w:rsidRDefault="008559C8">
            <w:pPr>
              <w:rPr>
                <w:rFonts w:hint="eastAsia"/>
              </w:rPr>
            </w:pPr>
            <w:r>
              <w:t>Längere Time-to-deliver; höheres Betriebs-/Wartungsrisiko; mehr Vollzeitäquivalente</w:t>
            </w:r>
          </w:p>
        </w:tc>
        <w:tc>
          <w:tcPr>
            <w:tcW w:w="2683" w:type="dxa"/>
          </w:tcPr>
          <w:p w14:paraId="30C5DBB0" w14:textId="77777777" w:rsidR="008559C8" w:rsidRDefault="008559C8">
            <w:pPr>
              <w:rPr>
                <w:rFonts w:hint="eastAsia"/>
              </w:rPr>
            </w:pPr>
            <w:r>
              <w:t>Abhängigkeit von Schlüsselpersonen; Security-Reifegrad offen</w:t>
            </w:r>
          </w:p>
        </w:tc>
        <w:tc>
          <w:tcPr>
            <w:tcW w:w="1685" w:type="dxa"/>
          </w:tcPr>
          <w:p w14:paraId="3189C94D" w14:textId="77777777" w:rsidR="008559C8" w:rsidRDefault="008559C8">
            <w:pPr>
              <w:rPr>
                <w:rFonts w:hint="eastAsia"/>
              </w:rPr>
            </w:pPr>
            <w:r>
              <w:t>Hoher Investitionsausgaben; +4–6 Monate</w:t>
            </w:r>
          </w:p>
        </w:tc>
      </w:tr>
      <w:tr w:rsidR="008559C8" w14:paraId="67D33A29" w14:textId="77777777" w:rsidTr="006930CB">
        <w:tc>
          <w:tcPr>
            <w:tcW w:w="1008" w:type="dxa"/>
          </w:tcPr>
          <w:p w14:paraId="27A4015B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B</w:t>
            </w:r>
          </w:p>
        </w:tc>
        <w:tc>
          <w:tcPr>
            <w:tcW w:w="2324" w:type="dxa"/>
          </w:tcPr>
          <w:p w14:paraId="59D4D0E8" w14:textId="77777777" w:rsidR="008559C8" w:rsidRDefault="008559C8">
            <w:pPr>
              <w:rPr>
                <w:rFonts w:hint="eastAsia"/>
              </w:rPr>
            </w:pPr>
            <w:r>
              <w:t>Standard-Plattform</w:t>
            </w:r>
          </w:p>
        </w:tc>
        <w:tc>
          <w:tcPr>
            <w:tcW w:w="1456" w:type="dxa"/>
            <w:gridSpan w:val="2"/>
          </w:tcPr>
          <w:p w14:paraId="545F2DBF" w14:textId="77777777" w:rsidR="008559C8" w:rsidRDefault="008559C8">
            <w:pPr>
              <w:rPr>
                <w:rFonts w:hint="eastAsia"/>
              </w:rPr>
            </w:pPr>
            <w:r>
              <w:t>Schnelle Lieferung; geringeres Betriebsrisiko; etablierte Security</w:t>
            </w:r>
          </w:p>
        </w:tc>
        <w:tc>
          <w:tcPr>
            <w:tcW w:w="1260" w:type="dxa"/>
          </w:tcPr>
          <w:p w14:paraId="626ACD94" w14:textId="77777777" w:rsidR="008559C8" w:rsidRDefault="008559C8">
            <w:pPr>
              <w:rPr>
                <w:rFonts w:hint="eastAsia"/>
              </w:rPr>
            </w:pPr>
            <w:r>
              <w:t>Weniger Flexibilität bei Sonderfällen</w:t>
            </w:r>
          </w:p>
        </w:tc>
        <w:tc>
          <w:tcPr>
            <w:tcW w:w="2683" w:type="dxa"/>
          </w:tcPr>
          <w:p w14:paraId="365D94C3" w14:textId="77777777" w:rsidR="008559C8" w:rsidRDefault="008559C8">
            <w:pPr>
              <w:rPr>
                <w:rFonts w:hint="eastAsia"/>
              </w:rPr>
            </w:pPr>
            <w:r>
              <w:t>Vendor-Contracting; Security Review</w:t>
            </w:r>
          </w:p>
        </w:tc>
        <w:tc>
          <w:tcPr>
            <w:tcW w:w="1685" w:type="dxa"/>
          </w:tcPr>
          <w:p w14:paraId="3F20C931" w14:textId="77777777" w:rsidR="008559C8" w:rsidRDefault="008559C8">
            <w:pPr>
              <w:rPr>
                <w:rFonts w:hint="eastAsia"/>
              </w:rPr>
            </w:pPr>
            <w:r>
              <w:t>Mittlerer Investitionsausgaben; im Plan</w:t>
            </w:r>
          </w:p>
        </w:tc>
      </w:tr>
      <w:tr w:rsidR="008559C8" w14:paraId="09398277" w14:textId="77777777" w:rsidTr="006930CB">
        <w:tc>
          <w:tcPr>
            <w:tcW w:w="1008" w:type="dxa"/>
          </w:tcPr>
          <w:p w14:paraId="2D6B1D2C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C</w:t>
            </w:r>
          </w:p>
        </w:tc>
        <w:tc>
          <w:tcPr>
            <w:tcW w:w="2324" w:type="dxa"/>
          </w:tcPr>
          <w:p w14:paraId="014AF881" w14:textId="77777777" w:rsidR="008559C8" w:rsidRDefault="008559C8">
            <w:pPr>
              <w:rPr>
                <w:rFonts w:hint="eastAsia"/>
              </w:rPr>
            </w:pPr>
            <w:r>
              <w:t>Hybrid (Standard + gezielte Erweiterung)</w:t>
            </w:r>
          </w:p>
        </w:tc>
        <w:tc>
          <w:tcPr>
            <w:tcW w:w="1456" w:type="dxa"/>
            <w:gridSpan w:val="2"/>
          </w:tcPr>
          <w:p w14:paraId="342C2656" w14:textId="77777777" w:rsidR="008559C8" w:rsidRDefault="008559C8">
            <w:pPr>
              <w:rPr>
                <w:rFonts w:hint="eastAsia"/>
              </w:rPr>
            </w:pPr>
            <w:r>
              <w:t>Balance aus Tempo und Anpassung</w:t>
            </w:r>
          </w:p>
        </w:tc>
        <w:tc>
          <w:tcPr>
            <w:tcW w:w="1260" w:type="dxa"/>
          </w:tcPr>
          <w:p w14:paraId="1CC770EF" w14:textId="77777777" w:rsidR="008559C8" w:rsidRDefault="008559C8">
            <w:pPr>
              <w:rPr>
                <w:rFonts w:hint="eastAsia"/>
              </w:rPr>
            </w:pPr>
            <w:r>
              <w:t>Integrations- und Governance-Aufwand</w:t>
            </w:r>
          </w:p>
        </w:tc>
        <w:tc>
          <w:tcPr>
            <w:tcW w:w="2683" w:type="dxa"/>
          </w:tcPr>
          <w:p w14:paraId="2A444EF0" w14:textId="77777777" w:rsidR="008559C8" w:rsidRDefault="008559C8">
            <w:pPr>
              <w:rPr>
                <w:rFonts w:hint="eastAsia"/>
              </w:rPr>
            </w:pPr>
            <w:r>
              <w:t>Doppelte Lieferkette; Schnittstellenrisiko</w:t>
            </w:r>
          </w:p>
        </w:tc>
        <w:tc>
          <w:tcPr>
            <w:tcW w:w="1685" w:type="dxa"/>
          </w:tcPr>
          <w:p w14:paraId="199521AC" w14:textId="77777777" w:rsidR="008559C8" w:rsidRDefault="008559C8">
            <w:pPr>
              <w:rPr>
                <w:rFonts w:hint="eastAsia"/>
              </w:rPr>
            </w:pPr>
            <w:r>
              <w:t>Mittel–hoch; +2–3 Monate</w:t>
            </w:r>
          </w:p>
        </w:tc>
      </w:tr>
    </w:tbl>
    <w:p w14:paraId="7E4EC92F" w14:textId="77777777" w:rsidR="008559C8" w:rsidRDefault="008559C8">
      <w:pPr>
        <w:rPr>
          <w:rFonts w:hint="eastAsia"/>
        </w:rPr>
      </w:pPr>
    </w:p>
    <w:p w14:paraId="2F89103E" w14:textId="77777777" w:rsidR="008559C8" w:rsidRDefault="009643DA">
      <w:pPr>
        <w:pStyle w:val="Heading2"/>
      </w:pPr>
      <w:r>
        <w:t>5. Empfehlung und Trade-offs</w:t>
      </w:r>
    </w:p>
    <w:p w14:paraId="3840D5A5" w14:textId="77777777" w:rsidR="008559C8" w:rsidRPr="006930CB" w:rsidRDefault="009643DA">
      <w:pPr>
        <w:rPr>
          <w:rFonts w:hint="eastAsia"/>
          <w:lang w:val="de-DE"/>
        </w:rPr>
      </w:pPr>
      <w:r>
        <w:rPr>
          <w:b/>
          <w:bCs/>
          <w:lang w:val="de-DE"/>
        </w:rPr>
        <w:t>Empfehlung</w:t>
      </w:r>
      <w:r>
        <w:rPr>
          <w:lang w:val="de-DE"/>
        </w:rPr>
        <w:t xml:space="preserve"> (eine Option, klar begründet):</w:t>
      </w:r>
    </w:p>
    <w:p w14:paraId="2A50DA7B" w14:textId="77777777" w:rsidR="008559C8" w:rsidRPr="006930CB" w:rsidRDefault="009643DA">
      <w:pPr>
        <w:rPr>
          <w:rFonts w:hint="eastAsia"/>
          <w:i/>
          <w:iCs/>
          <w:lang w:val="de-DE"/>
        </w:rPr>
      </w:pPr>
      <w:r>
        <w:rPr>
          <w:i/>
          <w:iCs/>
          <w:lang w:val="de-DE"/>
        </w:rPr>
        <w:t>Option B (Standard-Plattform). Sie erfüllt Time-to-deliver, Gesamtbetriebskosten und Wartbarkeit am besten und senkt das Implementierungsrisiko; die Kern-Use-Cases sind ohne Eigenentwicklung abgedeckt.</w:t>
      </w:r>
    </w:p>
    <w:p w14:paraId="7ADA7BB8" w14:textId="77777777" w:rsidR="008559C8" w:rsidRPr="006930CB" w:rsidRDefault="009643DA">
      <w:pPr>
        <w:rPr>
          <w:rFonts w:hint="eastAsia"/>
          <w:lang w:val="de-DE"/>
        </w:rPr>
      </w:pPr>
      <w:r>
        <w:rPr>
          <w:b/>
          <w:bCs/>
          <w:lang w:val="de-DE"/>
        </w:rPr>
        <w:t>Explizite Trade-offs</w:t>
      </w:r>
      <w:r>
        <w:rPr>
          <w:lang w:val="de-DE"/>
        </w:rPr>
        <w:t xml:space="preserve"> (was geben wir bewusst auf?):</w:t>
      </w:r>
    </w:p>
    <w:p w14:paraId="2AC93649" w14:textId="22CDB272" w:rsidR="008559C8" w:rsidRPr="006930CB" w:rsidRDefault="009643DA" w:rsidP="006930CB">
      <w:pPr>
        <w:pStyle w:val="ListParagraph"/>
        <w:numPr>
          <w:ilvl w:val="0"/>
          <w:numId w:val="11"/>
        </w:numPr>
        <w:rPr>
          <w:rFonts w:hint="eastAsia"/>
          <w:lang w:val="de-DE"/>
        </w:rPr>
      </w:pPr>
      <w:r>
        <w:rPr>
          <w:lang w:val="de-DE"/>
        </w:rPr>
        <w:t>Zeit vs. Qualität: schnelle Lieferung; Spezialanforderungen folgen später iterativ.</w:t>
      </w:r>
    </w:p>
    <w:p w14:paraId="04344C7D" w14:textId="3DDD47B6" w:rsidR="008559C8" w:rsidRPr="006930CB" w:rsidRDefault="009643DA" w:rsidP="006930CB">
      <w:pPr>
        <w:pStyle w:val="ListParagraph"/>
        <w:numPr>
          <w:ilvl w:val="0"/>
          <w:numId w:val="11"/>
        </w:numPr>
        <w:rPr>
          <w:rFonts w:hint="eastAsia"/>
          <w:lang w:val="de-DE"/>
        </w:rPr>
      </w:pPr>
      <w:r>
        <w:rPr>
          <w:lang w:val="de-DE"/>
        </w:rPr>
        <w:t>Kosten vs. Wirkung: geringere Lifecycle-Kosten gegen begrenzte Spezialisierung.</w:t>
      </w:r>
    </w:p>
    <w:p w14:paraId="65671333" w14:textId="2608B12B" w:rsidR="008559C8" w:rsidRPr="006930CB" w:rsidRDefault="009643DA" w:rsidP="006930CB">
      <w:pPr>
        <w:pStyle w:val="ListParagraph"/>
        <w:numPr>
          <w:ilvl w:val="0"/>
          <w:numId w:val="11"/>
        </w:numPr>
        <w:rPr>
          <w:rFonts w:hint="eastAsia"/>
          <w:lang w:val="de-DE"/>
        </w:rPr>
      </w:pPr>
      <w:r>
        <w:rPr>
          <w:lang w:val="de-DE"/>
        </w:rPr>
        <w:t>Scope vs. Risiko: enger Migrations-Scope senkt das Risiko, verschiebt Nice-to-haves.</w:t>
      </w:r>
    </w:p>
    <w:p w14:paraId="3E5889C8" w14:textId="18F1D786" w:rsidR="008559C8" w:rsidRPr="006930CB" w:rsidRDefault="009643DA" w:rsidP="006930CB">
      <w:pPr>
        <w:pStyle w:val="ListParagraph"/>
        <w:numPr>
          <w:ilvl w:val="0"/>
          <w:numId w:val="11"/>
        </w:numPr>
        <w:rPr>
          <w:rFonts w:hint="eastAsia"/>
          <w:lang w:val="de-DE"/>
        </w:rPr>
      </w:pPr>
      <w:r>
        <w:rPr>
          <w:lang w:val="de-DE"/>
        </w:rPr>
        <w:t>Flexibilität vs. Standardisierung: bewusst weniger Flexibilität zugunsten Betriebsstabilität.</w:t>
      </w:r>
    </w:p>
    <w:p w14:paraId="65AA99F7" w14:textId="77777777" w:rsidR="008559C8" w:rsidRDefault="009643DA">
      <w:pPr>
        <w:pStyle w:val="Heading2"/>
      </w:pPr>
      <w:r>
        <w:t>6. Umsetzung (wenn entschieden)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78"/>
        <w:gridCol w:w="1710"/>
        <w:gridCol w:w="1710"/>
        <w:gridCol w:w="5502"/>
      </w:tblGrid>
      <w:tr w:rsidR="008559C8" w14:paraId="500C197E" w14:textId="77777777" w:rsidTr="006930CB">
        <w:tc>
          <w:tcPr>
            <w:tcW w:w="1278" w:type="dxa"/>
            <w:shd w:val="clear" w:color="auto" w:fill="AECDFF"/>
            <w:vAlign w:val="center"/>
          </w:tcPr>
          <w:p w14:paraId="5CE1908A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Schritt</w:t>
            </w:r>
          </w:p>
        </w:tc>
        <w:tc>
          <w:tcPr>
            <w:tcW w:w="1710" w:type="dxa"/>
            <w:shd w:val="clear" w:color="auto" w:fill="AECDFF"/>
            <w:vAlign w:val="center"/>
          </w:tcPr>
          <w:p w14:paraId="5472E8FB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Owner</w:t>
            </w:r>
          </w:p>
        </w:tc>
        <w:tc>
          <w:tcPr>
            <w:tcW w:w="1710" w:type="dxa"/>
            <w:shd w:val="clear" w:color="auto" w:fill="AECDFF"/>
            <w:vAlign w:val="center"/>
          </w:tcPr>
          <w:p w14:paraId="5760BFC5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Due</w:t>
            </w:r>
          </w:p>
        </w:tc>
        <w:tc>
          <w:tcPr>
            <w:tcW w:w="5502" w:type="dxa"/>
            <w:shd w:val="clear" w:color="auto" w:fill="AECDFF"/>
            <w:vAlign w:val="center"/>
          </w:tcPr>
          <w:p w14:paraId="35A9D98F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Definition of Done</w:t>
            </w:r>
          </w:p>
        </w:tc>
      </w:tr>
      <w:tr w:rsidR="008559C8" w14:paraId="35B5DE05" w14:textId="77777777" w:rsidTr="006930CB">
        <w:tc>
          <w:tcPr>
            <w:tcW w:w="1278" w:type="dxa"/>
          </w:tcPr>
          <w:p w14:paraId="7B3AC8BE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1. Vendor-Contracting starten</w:t>
            </w:r>
          </w:p>
        </w:tc>
        <w:tc>
          <w:tcPr>
            <w:tcW w:w="1710" w:type="dxa"/>
          </w:tcPr>
          <w:p w14:paraId="1934164A" w14:textId="77777777" w:rsidR="008559C8" w:rsidRDefault="008559C8">
            <w:pPr>
              <w:rPr>
                <w:rFonts w:hint="eastAsia"/>
              </w:rPr>
            </w:pPr>
            <w:r>
              <w:t>Project Management Office</w:t>
            </w:r>
          </w:p>
        </w:tc>
        <w:tc>
          <w:tcPr>
            <w:tcW w:w="1710" w:type="dxa"/>
          </w:tcPr>
          <w:p w14:paraId="7E47D2B2" w14:textId="77777777" w:rsidR="008559C8" w:rsidRDefault="008559C8">
            <w:pPr>
              <w:rPr>
                <w:rFonts w:hint="eastAsia"/>
              </w:rPr>
            </w:pPr>
            <w:r>
              <w:t>2026-03-05</w:t>
            </w:r>
          </w:p>
        </w:tc>
        <w:tc>
          <w:tcPr>
            <w:tcW w:w="5502" w:type="dxa"/>
          </w:tcPr>
          <w:p w14:paraId="246AF140" w14:textId="77777777" w:rsidR="008559C8" w:rsidRDefault="008559C8">
            <w:pPr>
              <w:rPr>
                <w:rFonts w:hint="eastAsia"/>
              </w:rPr>
            </w:pPr>
            <w:r>
              <w:t>Vertragsentwurf vorliegend; Security-Review terminiert</w:t>
            </w:r>
          </w:p>
        </w:tc>
      </w:tr>
      <w:tr w:rsidR="008559C8" w14:paraId="3D1B3857" w14:textId="77777777" w:rsidTr="006930CB">
        <w:tc>
          <w:tcPr>
            <w:tcW w:w="1278" w:type="dxa"/>
          </w:tcPr>
          <w:p w14:paraId="1D134162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2. Security Review Zielplattform</w:t>
            </w:r>
          </w:p>
        </w:tc>
        <w:tc>
          <w:tcPr>
            <w:tcW w:w="1710" w:type="dxa"/>
          </w:tcPr>
          <w:p w14:paraId="06BFFEBB" w14:textId="77777777" w:rsidR="008559C8" w:rsidRDefault="008559C8">
            <w:pPr>
              <w:rPr>
                <w:rFonts w:hint="eastAsia"/>
              </w:rPr>
            </w:pPr>
            <w:r>
              <w:t>IT/Security</w:t>
            </w:r>
          </w:p>
        </w:tc>
        <w:tc>
          <w:tcPr>
            <w:tcW w:w="1710" w:type="dxa"/>
          </w:tcPr>
          <w:p w14:paraId="0E9C1345" w14:textId="77777777" w:rsidR="008559C8" w:rsidRDefault="008559C8">
            <w:pPr>
              <w:rPr>
                <w:rFonts w:hint="eastAsia"/>
              </w:rPr>
            </w:pPr>
            <w:r>
              <w:t>2026-03-08</w:t>
            </w:r>
          </w:p>
        </w:tc>
        <w:tc>
          <w:tcPr>
            <w:tcW w:w="5502" w:type="dxa"/>
          </w:tcPr>
          <w:p w14:paraId="149BEE8C" w14:textId="77777777" w:rsidR="008559C8" w:rsidRDefault="008559C8">
            <w:pPr>
              <w:rPr>
                <w:rFonts w:hint="eastAsia"/>
              </w:rPr>
            </w:pPr>
            <w:r>
              <w:t>Freigabe oder Auflagen dokumentiert</w:t>
            </w:r>
          </w:p>
        </w:tc>
      </w:tr>
      <w:tr w:rsidR="008559C8" w14:paraId="694788A4" w14:textId="77777777" w:rsidTr="006930CB">
        <w:tc>
          <w:tcPr>
            <w:tcW w:w="1278" w:type="dxa"/>
          </w:tcPr>
          <w:p w14:paraId="584D4662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19"/>
              </w:rPr>
              <w:t>3. Migrations-Scope abgrenzen</w:t>
            </w:r>
          </w:p>
        </w:tc>
        <w:tc>
          <w:tcPr>
            <w:tcW w:w="1710" w:type="dxa"/>
          </w:tcPr>
          <w:p w14:paraId="27920335" w14:textId="77777777" w:rsidR="008559C8" w:rsidRDefault="008559C8">
            <w:pPr>
              <w:rPr>
                <w:rFonts w:hint="eastAsia"/>
              </w:rPr>
            </w:pPr>
            <w:r>
              <w:t>Enterprise Architect</w:t>
            </w:r>
          </w:p>
        </w:tc>
        <w:tc>
          <w:tcPr>
            <w:tcW w:w="1710" w:type="dxa"/>
          </w:tcPr>
          <w:p w14:paraId="2791C76C" w14:textId="77777777" w:rsidR="008559C8" w:rsidRDefault="008559C8">
            <w:pPr>
              <w:rPr>
                <w:rFonts w:hint="eastAsia"/>
              </w:rPr>
            </w:pPr>
            <w:r>
              <w:t>2026-03-15</w:t>
            </w:r>
          </w:p>
        </w:tc>
        <w:tc>
          <w:tcPr>
            <w:tcW w:w="5502" w:type="dxa"/>
          </w:tcPr>
          <w:p w14:paraId="1E9C326F" w14:textId="77777777" w:rsidR="008559C8" w:rsidRDefault="008559C8">
            <w:pPr>
              <w:rPr>
                <w:rFonts w:hint="eastAsia"/>
              </w:rPr>
            </w:pPr>
            <w:r>
              <w:t>Scope-Baseline + Risiken im Risiko-/Issue-Register (R-004)</w:t>
            </w:r>
          </w:p>
        </w:tc>
      </w:tr>
    </w:tbl>
    <w:p w14:paraId="7851DDE2" w14:textId="77777777" w:rsidR="008559C8" w:rsidRDefault="008559C8">
      <w:pPr>
        <w:rPr>
          <w:rFonts w:hint="eastAsia"/>
        </w:rPr>
      </w:pPr>
    </w:p>
    <w:p w14:paraId="77BA0CED" w14:textId="77777777" w:rsidR="008559C8" w:rsidRDefault="009643DA">
      <w:pPr>
        <w:pStyle w:val="Heading2"/>
      </w:pPr>
      <w:r>
        <w:t>7. Evidence Pack (anhängen/verlinken)</w:t>
      </w:r>
    </w:p>
    <w:p w14:paraId="378EDA9B" w14:textId="2CAA5DE8" w:rsidR="008559C8" w:rsidRPr="006930CB" w:rsidRDefault="009643DA" w:rsidP="006930CB">
      <w:pPr>
        <w:pStyle w:val="ListParagraph"/>
        <w:numPr>
          <w:ilvl w:val="0"/>
          <w:numId w:val="11"/>
        </w:numPr>
        <w:rPr>
          <w:rFonts w:hint="eastAsia"/>
          <w:lang w:val="de-DE"/>
        </w:rPr>
      </w:pPr>
      <w:r>
        <w:rPr>
          <w:lang w:val="de-DE"/>
        </w:rPr>
        <w:t>Zahlen: Gesamtbetriebskosten-Vergleich über 3 Jahre; Investitionsausgaben/Betriebsausgaben und Vollzeitäquivalente-Bedarf je Option.</w:t>
      </w:r>
    </w:p>
    <w:p w14:paraId="7E65458B" w14:textId="1A16B3D5" w:rsidR="008559C8" w:rsidRDefault="009643DA" w:rsidP="006930CB">
      <w:pPr>
        <w:pStyle w:val="ListParagraph"/>
        <w:numPr>
          <w:ilvl w:val="0"/>
          <w:numId w:val="11"/>
        </w:numPr>
        <w:rPr>
          <w:rFonts w:hint="eastAsia"/>
        </w:rPr>
      </w:pPr>
      <w:r>
        <w:t>Risiko: R-004 (Migrations-Scope), I-002 (Security-Findings) inkl. Mitigation.</w:t>
      </w:r>
    </w:p>
    <w:p w14:paraId="0E29F284" w14:textId="7F47EC65" w:rsidR="008559C8" w:rsidRPr="006930CB" w:rsidRDefault="009643DA" w:rsidP="006930CB">
      <w:pPr>
        <w:pStyle w:val="ListParagraph"/>
        <w:numPr>
          <w:ilvl w:val="0"/>
          <w:numId w:val="11"/>
        </w:numPr>
        <w:rPr>
          <w:rFonts w:hint="eastAsia"/>
          <w:lang w:val="de-DE"/>
        </w:rPr>
      </w:pPr>
      <w:r>
        <w:rPr>
          <w:lang w:val="de-DE"/>
        </w:rPr>
        <w:t>Stakeholder-Input: Security und Operations haben Option B bestätigt.</w:t>
      </w:r>
    </w:p>
    <w:p w14:paraId="7A495FBB" w14:textId="71FD8D84" w:rsidR="006930CB" w:rsidRDefault="009643DA" w:rsidP="006930CB">
      <w:pPr>
        <w:pStyle w:val="ListParagraph"/>
        <w:numPr>
          <w:ilvl w:val="0"/>
          <w:numId w:val="11"/>
        </w:numPr>
      </w:pPr>
      <w:r>
        <w:t>Links: SharePoint/Architektur; Decision Log D-012.</w:t>
      </w:r>
    </w:p>
    <w:p w14:paraId="272AFC36" w14:textId="77777777" w:rsidR="006930CB" w:rsidRDefault="006930CB">
      <w:pPr>
        <w:spacing w:after="200"/>
      </w:pPr>
      <w:r>
        <w:br w:type="page"/>
      </w:r>
    </w:p>
    <w:p w14:paraId="3D72A3AA" w14:textId="77777777" w:rsidR="008559C8" w:rsidRDefault="008559C8" w:rsidP="006930CB">
      <w:pPr>
        <w:pStyle w:val="ListParagraph"/>
        <w:rPr>
          <w:rFonts w:hint="eastAsia"/>
        </w:rPr>
      </w:pPr>
    </w:p>
    <w:p w14:paraId="6BEA8876" w14:textId="77777777" w:rsidR="008559C8" w:rsidRPr="006930CB" w:rsidRDefault="009643DA">
      <w:pPr>
        <w:pStyle w:val="Heading2"/>
        <w:rPr>
          <w:lang w:val="de-DE"/>
        </w:rPr>
      </w:pPr>
      <w:r>
        <w:rPr>
          <w:lang w:val="de-DE"/>
        </w:rPr>
        <w:t>Quality Check vor Freigabe</w:t>
      </w:r>
    </w:p>
    <w:p w14:paraId="1F81F6B4" w14:textId="77777777" w:rsidR="008559C8" w:rsidRPr="006930CB" w:rsidRDefault="009643DA" w:rsidP="006930CB">
      <w:pPr>
        <w:spacing w:after="40"/>
        <w:ind w:left="720"/>
        <w:rPr>
          <w:rFonts w:hint="eastAsia"/>
          <w:lang w:val="de-DE"/>
        </w:rPr>
      </w:pPr>
      <w:r>
        <w:rPr>
          <w:lang w:val="de-DE"/>
        </w:rPr>
        <w:t>☑ Entscheidungsfrage ist eindeutig (keine Mehrdeutigkeit).</w:t>
      </w:r>
    </w:p>
    <w:p w14:paraId="57E21727" w14:textId="77777777" w:rsidR="008559C8" w:rsidRPr="006930CB" w:rsidRDefault="009643DA" w:rsidP="006930CB">
      <w:pPr>
        <w:spacing w:after="40"/>
        <w:ind w:left="720"/>
        <w:rPr>
          <w:rFonts w:hint="eastAsia"/>
          <w:lang w:val="de-DE"/>
        </w:rPr>
      </w:pPr>
      <w:r>
        <w:rPr>
          <w:lang w:val="de-DE"/>
        </w:rPr>
        <w:t>☑ Optionen sind realistisch (nicht nur Wunschbilder).</w:t>
      </w:r>
    </w:p>
    <w:p w14:paraId="179F231D" w14:textId="77777777" w:rsidR="008559C8" w:rsidRPr="006930CB" w:rsidRDefault="009643DA" w:rsidP="006930CB">
      <w:pPr>
        <w:spacing w:after="40"/>
        <w:ind w:left="720"/>
        <w:rPr>
          <w:rFonts w:hint="eastAsia"/>
          <w:lang w:val="de-DE"/>
        </w:rPr>
      </w:pPr>
      <w:r>
        <w:rPr>
          <w:lang w:val="de-DE"/>
        </w:rPr>
        <w:t>☑ Kriterien sind explizit und passend zum Programmziel.</w:t>
      </w:r>
    </w:p>
    <w:p w14:paraId="4F12D13F" w14:textId="77777777" w:rsidR="008559C8" w:rsidRPr="006930CB" w:rsidRDefault="009643DA" w:rsidP="006930CB">
      <w:pPr>
        <w:spacing w:after="40"/>
        <w:ind w:left="720"/>
        <w:rPr>
          <w:rFonts w:hint="eastAsia"/>
          <w:lang w:val="de-DE"/>
        </w:rPr>
      </w:pPr>
      <w:r>
        <w:rPr>
          <w:lang w:val="de-DE"/>
        </w:rPr>
        <w:t>☑ Trade-offs sind benannt (keine "win-win"-Illusion).</w:t>
      </w:r>
    </w:p>
    <w:p w14:paraId="1FF24331" w14:textId="77777777" w:rsidR="008559C8" w:rsidRPr="006930CB" w:rsidRDefault="009643DA" w:rsidP="006930CB">
      <w:pPr>
        <w:spacing w:after="40"/>
        <w:ind w:left="720"/>
        <w:rPr>
          <w:rFonts w:hint="eastAsia"/>
          <w:lang w:val="de-DE"/>
        </w:rPr>
      </w:pPr>
      <w:r>
        <w:rPr>
          <w:lang w:val="de-DE"/>
        </w:rPr>
        <w:t>☑ Umsetzungsschritte haben Owner + Due + Definition of Done.</w:t>
      </w:r>
    </w:p>
    <w:p w14:paraId="2C087875" w14:textId="2EBC2234" w:rsidR="008559C8" w:rsidRDefault="009643DA" w:rsidP="006930CB">
      <w:pPr>
        <w:spacing w:after="40"/>
        <w:ind w:left="720"/>
        <w:rPr>
          <w:lang w:val="de-DE"/>
        </w:rPr>
      </w:pPr>
      <w:r>
        <w:rPr>
          <w:lang w:val="de-DE"/>
        </w:rPr>
        <w:t>☑ Risiken/Abhängigkeiten sind im Risiko-/Issue-Register verlinkt.</w:t>
      </w:r>
    </w:p>
    <w:p w14:paraId="1B7D3DE4" w14:textId="77777777" w:rsidR="006930CB" w:rsidRPr="006930CB" w:rsidRDefault="006930CB" w:rsidP="006930CB">
      <w:pPr>
        <w:spacing w:after="40"/>
        <w:ind w:left="720"/>
        <w:rPr>
          <w:rFonts w:hint="eastAsia"/>
          <w:lang w:val="de-D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0"/>
      </w:tblGrid>
      <w:tr w:rsidR="008559C8" w14:paraId="505B9141" w14:textId="77777777">
        <w:tc>
          <w:tcPr>
            <w:tcW w:w="10200" w:type="dxa"/>
            <w:shd w:val="clear" w:color="auto" w:fill="AECDFF"/>
          </w:tcPr>
          <w:p w14:paraId="5C01E92F" w14:textId="77777777" w:rsidR="008559C8" w:rsidRDefault="009643DA">
            <w:pPr>
              <w:rPr>
                <w:rFonts w:hint="eastAsia"/>
              </w:rPr>
            </w:pPr>
            <w:r>
              <w:rPr>
                <w:b/>
                <w:color w:val="000042"/>
                <w:sz w:val="20"/>
              </w:rPr>
              <w:t>So arbeiten wir damit</w:t>
            </w:r>
          </w:p>
        </w:tc>
      </w:tr>
      <w:tr w:rsidR="008559C8" w:rsidRPr="006930CB" w14:paraId="311020E3" w14:textId="77777777">
        <w:tc>
          <w:tcPr>
            <w:tcW w:w="10200" w:type="dxa"/>
          </w:tcPr>
          <w:p w14:paraId="63E05B01" w14:textId="77777777" w:rsidR="008559C8" w:rsidRPr="006930CB" w:rsidRDefault="009643DA">
            <w:pPr>
              <w:rPr>
                <w:rFonts w:hint="eastAsia"/>
                <w:lang w:val="de-DE"/>
              </w:rPr>
            </w:pPr>
            <w:r>
              <w:rPr>
                <w:sz w:val="19"/>
                <w:lang w:val="de-DE"/>
              </w:rPr>
              <w:t>Wenn Sie innerhalb einer kurzen Session aus einem Roh-Entwurf ein entscheidungsreifes Paper machen wollen: wir gehen gemeinsam Frage, Kriterien, Optionen, Trade-offs und Umsetzungs-Definition of Done durch und schneiden alles auf Ihr Steering Committee zu.</w:t>
            </w:r>
          </w:p>
        </w:tc>
      </w:tr>
    </w:tbl>
    <w:p w14:paraId="52CA710A" w14:textId="77777777" w:rsidR="008559C8" w:rsidRPr="006930CB" w:rsidRDefault="008559C8">
      <w:pPr>
        <w:rPr>
          <w:rFonts w:hint="eastAsia"/>
          <w:lang w:val="de-DE"/>
        </w:rPr>
      </w:pPr>
    </w:p>
    <w:sectPr w:rsidR="008559C8" w:rsidRPr="006930CB" w:rsidSect="00034616">
      <w:headerReference w:type="default" r:id="rId11"/>
      <w:footerReference w:type="default" r:id="rId12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92338" w14:textId="77777777" w:rsidR="009643DA" w:rsidRDefault="009643D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57C2100" w14:textId="77777777" w:rsidR="009643DA" w:rsidRDefault="009643D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0318F" w14:textId="4ABB03BB" w:rsidR="008559C8" w:rsidRDefault="009643DA">
    <w:pPr>
      <w:pStyle w:val="Footer"/>
      <w:rPr>
        <w:rFonts w:hint="eastAsia"/>
      </w:rPr>
    </w:pPr>
    <w:r>
      <w:rPr>
        <w:color w:val="818181"/>
        <w:sz w:val="16"/>
      </w:rPr>
      <w:t xml:space="preserve">compact </w:t>
    </w:r>
    <w:proofErr w:type="gramStart"/>
    <w:r>
      <w:rPr>
        <w:color w:val="818181"/>
        <w:sz w:val="16"/>
      </w:rPr>
      <w:t>strategy  |</w:t>
    </w:r>
    <w:proofErr w:type="gramEnd"/>
    <w:r>
      <w:rPr>
        <w:color w:val="818181"/>
        <w:sz w:val="16"/>
      </w:rPr>
      <w:t xml:space="preserve">  </w:t>
    </w:r>
    <w:proofErr w:type="spellStart"/>
    <w:proofErr w:type="gramStart"/>
    <w:r>
      <w:rPr>
        <w:color w:val="818181"/>
        <w:sz w:val="16"/>
      </w:rPr>
      <w:t>Einblick</w:t>
    </w:r>
    <w:proofErr w:type="spellEnd"/>
    <w:r>
      <w:rPr>
        <w:color w:val="818181"/>
        <w:sz w:val="16"/>
      </w:rPr>
      <w:t xml:space="preserve">  |</w:t>
    </w:r>
    <w:proofErr w:type="gramEnd"/>
    <w:r>
      <w:rPr>
        <w:color w:val="818181"/>
        <w:sz w:val="16"/>
      </w:rPr>
      <w:t xml:space="preserve">  Decision </w:t>
    </w:r>
    <w:proofErr w:type="gramStart"/>
    <w:r>
      <w:rPr>
        <w:color w:val="818181"/>
        <w:sz w:val="16"/>
      </w:rPr>
      <w:t>Paper  |</w:t>
    </w:r>
    <w:proofErr w:type="gramEnd"/>
    <w:r>
      <w:rPr>
        <w:color w:val="818181"/>
        <w:sz w:val="16"/>
      </w:rPr>
      <w:t xml:space="preserve">  </w:t>
    </w:r>
    <w:proofErr w:type="spellStart"/>
    <w:r>
      <w:rPr>
        <w:color w:val="818181"/>
        <w:sz w:val="16"/>
      </w:rPr>
      <w:t>Seite</w:t>
    </w:r>
    <w:proofErr w:type="spellEnd"/>
    <w:r>
      <w:rPr>
        <w:color w:val="818181"/>
        <w:sz w:val="16"/>
      </w:rPr>
      <w:t xml:space="preserve"> </w:t>
    </w:r>
    <w:r>
      <w:rPr>
        <w:color w:val="818181"/>
        <w:sz w:val="16"/>
      </w:rPr>
      <w:fldChar w:fldCharType="begin"/>
    </w:r>
    <w:r>
      <w:rPr>
        <w:color w:val="818181"/>
        <w:sz w:val="16"/>
      </w:rPr>
      <w:instrText>PAGE</w:instrText>
    </w:r>
    <w:r w:rsidR="006930CB">
      <w:rPr>
        <w:color w:val="818181"/>
        <w:sz w:val="16"/>
      </w:rPr>
      <w:fldChar w:fldCharType="separate"/>
    </w:r>
    <w:r w:rsidR="006930CB">
      <w:rPr>
        <w:noProof/>
        <w:color w:val="818181"/>
        <w:sz w:val="16"/>
      </w:rPr>
      <w:t>1</w:t>
    </w:r>
    <w:r>
      <w:rPr>
        <w:color w:val="81818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16D5" w14:textId="77777777" w:rsidR="009643DA" w:rsidRDefault="009643D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2C37E04" w14:textId="77777777" w:rsidR="009643DA" w:rsidRDefault="009643D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629D2" w14:textId="77777777" w:rsidR="008559C8" w:rsidRDefault="009643DA">
    <w:pPr>
      <w:pStyle w:val="Header"/>
      <w:jc w:val="right"/>
      <w:rPr>
        <w:rFonts w:hint="eastAsia"/>
      </w:rPr>
    </w:pPr>
    <w:r>
      <w:rPr>
        <w:noProof/>
      </w:rPr>
      <w:drawing>
        <wp:inline distT="0" distB="0" distL="0" distR="0" wp14:anchorId="0278FE95" wp14:editId="76CB5DDC">
          <wp:extent cx="1463040" cy="68153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pact-strategy-mai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3040" cy="6815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ED4C5C"/>
    <w:multiLevelType w:val="hybridMultilevel"/>
    <w:tmpl w:val="68C82226"/>
    <w:lvl w:ilvl="0" w:tplc="219CDF76">
      <w:numFmt w:val="bullet"/>
      <w:lvlText w:val="•"/>
      <w:lvlJc w:val="left"/>
      <w:pPr>
        <w:ind w:left="720" w:hanging="360"/>
      </w:pPr>
      <w:rPr>
        <w:rFonts w:ascii="Poppins" w:eastAsiaTheme="minorEastAsia" w:hAnsi="Poppins" w:cs="Poppi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44B2A"/>
    <w:multiLevelType w:val="hybridMultilevel"/>
    <w:tmpl w:val="4CFCDA84"/>
    <w:lvl w:ilvl="0" w:tplc="219CDF76">
      <w:numFmt w:val="bullet"/>
      <w:lvlText w:val="•"/>
      <w:lvlJc w:val="left"/>
      <w:pPr>
        <w:ind w:left="720" w:hanging="360"/>
      </w:pPr>
      <w:rPr>
        <w:rFonts w:ascii="Poppins" w:eastAsiaTheme="minorEastAsia" w:hAnsi="Poppins" w:cs="Poppi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60F28"/>
    <w:multiLevelType w:val="hybridMultilevel"/>
    <w:tmpl w:val="6E3ED7CE"/>
    <w:lvl w:ilvl="0" w:tplc="219CDF76">
      <w:numFmt w:val="bullet"/>
      <w:lvlText w:val="•"/>
      <w:lvlJc w:val="left"/>
      <w:pPr>
        <w:ind w:left="720" w:hanging="360"/>
      </w:pPr>
      <w:rPr>
        <w:rFonts w:ascii="Poppins" w:eastAsiaTheme="minorEastAsia" w:hAnsi="Poppins" w:cs="Poppi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13C2B"/>
    <w:multiLevelType w:val="hybridMultilevel"/>
    <w:tmpl w:val="EBBEA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319982">
    <w:abstractNumId w:val="8"/>
  </w:num>
  <w:num w:numId="2" w16cid:durableId="1618950704">
    <w:abstractNumId w:val="6"/>
  </w:num>
  <w:num w:numId="3" w16cid:durableId="1952202062">
    <w:abstractNumId w:val="5"/>
  </w:num>
  <w:num w:numId="4" w16cid:durableId="2073966833">
    <w:abstractNumId w:val="4"/>
  </w:num>
  <w:num w:numId="5" w16cid:durableId="146829373">
    <w:abstractNumId w:val="7"/>
  </w:num>
  <w:num w:numId="6" w16cid:durableId="1614941651">
    <w:abstractNumId w:val="3"/>
  </w:num>
  <w:num w:numId="7" w16cid:durableId="1993753272">
    <w:abstractNumId w:val="2"/>
  </w:num>
  <w:num w:numId="8" w16cid:durableId="1111823890">
    <w:abstractNumId w:val="1"/>
  </w:num>
  <w:num w:numId="9" w16cid:durableId="965551287">
    <w:abstractNumId w:val="0"/>
  </w:num>
  <w:num w:numId="10" w16cid:durableId="1105734958">
    <w:abstractNumId w:val="12"/>
  </w:num>
  <w:num w:numId="11" w16cid:durableId="372274714">
    <w:abstractNumId w:val="10"/>
  </w:num>
  <w:num w:numId="12" w16cid:durableId="313416323">
    <w:abstractNumId w:val="9"/>
  </w:num>
  <w:num w:numId="13" w16cid:durableId="14789601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30CB"/>
    <w:rsid w:val="008559C8"/>
    <w:rsid w:val="009643DA"/>
    <w:rsid w:val="00AA1D8D"/>
    <w:rsid w:val="00B47730"/>
    <w:rsid w:val="00CB0664"/>
    <w:rsid w:val="00EC4D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36DF4427-80D6-4BCA-BACD-6115E9D6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Poppins" w:hAnsi="Poppins"/>
      <w:color w:val="060614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000042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color w:val="00004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00004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16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fontTable" Target="fontTable.xml" />
  <Relationship Id="rId7" Type="http://schemas.openxmlformats.org/officeDocument/2006/relationships/settings" Target="settings.xml" />
  <Relationship Id="rId12" Type="http://schemas.openxmlformats.org/officeDocument/2006/relationships/footer" Target="footer1.xml" />
  <Relationship Id="rId6" Type="http://schemas.openxmlformats.org/officeDocument/2006/relationships/styles" Target="styles.xml" />
  <Relationship Id="rId11" Type="http://schemas.openxmlformats.org/officeDocument/2006/relationships/header" Target="header1.xml" />
  <Relationship Id="rId5" Type="http://schemas.openxmlformats.org/officeDocument/2006/relationships/numbering" Target="numbering.xml" />
  <Relationship Id="rId10" Type="http://schemas.openxmlformats.org/officeDocument/2006/relationships/endnotes" Target="endnotes.xml" />
  <Relationship Id="rId9" Type="http://schemas.openxmlformats.org/officeDocument/2006/relationships/footnotes" Target="footnotes.xml" />
  <Relationship Id="rId14" Type="http://schemas.openxmlformats.org/officeDocument/2006/relationships/theme" Target="theme/theme1.xml" />
</Relationships>
</file>

<file path=word/_rels/header1.xml.rels><?xml version="1.0" encoding="utf-16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 Paper (One-Pager)</dc:title>
  <dc:subject/>
  <dc:creator>python-docx</dc:creator>
  <cp:keywords/>
  <dc:description>generated by python-docx</dc:description>
  <cp:lastModifiedBy>Niklas Bals</cp:lastModifiedBy>
  <cp:revision>2</cp:revision>
  <dcterms:created xsi:type="dcterms:W3CDTF">2013-12-23T23:15:00Z</dcterms:created>
  <dcterms:modified xsi:type="dcterms:W3CDTF">2026-03-02T09:39:00Z</dcterms:modified>
  <cp:category/>
</cp:coreProperties>
</file>